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43ac" w14:textId="d014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31 шілдедегі № 67 қаулысы. Қазақстан Республикасының Әділет министрлігінде 2023 жылғы 7 тамызда № 33241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31 шілдедегі</w:t>
            </w:r>
            <w:r>
              <w:br/>
            </w:r>
            <w:r>
              <w:rPr>
                <w:rFonts w:ascii="Times New Roman"/>
                <w:b w:val="false"/>
                <w:i w:val="false"/>
                <w:color w:val="000000"/>
                <w:sz w:val="20"/>
              </w:rPr>
              <w:t>№ 67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 </w:t>
      </w:r>
    </w:p>
    <w:bookmarkEnd w:id="8"/>
    <w:bookmarkStart w:name="z11" w:id="9"/>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4" w:id="10"/>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 </w:t>
      </w:r>
    </w:p>
    <w:bookmarkEnd w:id="10"/>
    <w:bookmarkStart w:name="z15" w:id="1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"2-1. Нормативтерді есептеу мақсаттары үшін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(бұдан әрі – Сақтандыру резервтерін қалыптастыруға, есептеу әдістемесі және олардың құрылымына қойылатын талаптар) сәйкес есептеледі.";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тармақтар</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xml:space="preserve">
      "10.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Moody's Investors Service (Мудис Инвесторс Сервис), Fitch (Фич), A.M. Best және Morningstar (Эй. Эм. Бест и (Морнинстар) агенттіктерінің, олардың еншілес рейтингтік ұйымдарының және Нормативтердің </w:t>
      </w:r>
      <w:r>
        <w:rPr>
          <w:rFonts w:ascii="Times New Roman"/>
          <w:b w:val="false"/>
          <w:i w:val="false"/>
          <w:color w:val="000000"/>
          <w:sz w:val="28"/>
        </w:rPr>
        <w:t>10-1-тармағында</w:t>
      </w:r>
      <w:r>
        <w:rPr>
          <w:rFonts w:ascii="Times New Roman"/>
          <w:b w:val="false"/>
          <w:i w:val="false"/>
          <w:color w:val="000000"/>
          <w:sz w:val="28"/>
        </w:rPr>
        <w:t xml:space="preserve"> белгіленген талап сақталған жағдайда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агенттіктердің (бұдан әрі – басқа рейтингтік агенттіктер) рейтингтік бағаларын таниды.</w:t>
      </w:r>
    </w:p>
    <w:bookmarkEnd w:id="13"/>
    <w:p>
      <w:pPr>
        <w:spacing w:after="0"/>
        <w:ind w:left="0"/>
        <w:jc w:val="both"/>
      </w:pPr>
      <w:r>
        <w:rPr>
          <w:rFonts w:ascii="Times New Roman"/>
          <w:b w:val="false"/>
          <w:i w:val="false"/>
          <w:color w:val="000000"/>
          <w:sz w:val="28"/>
        </w:rPr>
        <w:t>
      A.M. Best (Эй.Эм.Бест) агенттігінің рейтингтік бағалары қайта сақтандырушының рейтингтік бағасын тану мақсатында ғана пайдаланылады.</w:t>
      </w:r>
    </w:p>
    <w:p>
      <w:pPr>
        <w:spacing w:after="0"/>
        <w:ind w:left="0"/>
        <w:jc w:val="both"/>
      </w:pPr>
      <w:r>
        <w:rPr>
          <w:rFonts w:ascii="Times New Roman"/>
          <w:b w:val="false"/>
          <w:i w:val="false"/>
          <w:color w:val="000000"/>
          <w:sz w:val="28"/>
        </w:rPr>
        <w:t>
      Morningstar (Морнинстар) рейтингтік агенттігінің рейтингтік бағалары Exchange Traded Funds (ETF) (Эксчейндж Трэйдэд Фандс), Exchange traded commodities (ETC) (Эксчейндж Трэйдэд Коммодитис), Exchange Traded Notes (ETN) (Эксчейндж Трэйдэд Ноутс) пайларын бағалау мақсатында ғана пайдаланылады.</w:t>
      </w:r>
    </w:p>
    <w:p>
      <w:pPr>
        <w:spacing w:after="0"/>
        <w:ind w:left="0"/>
        <w:jc w:val="both"/>
      </w:pPr>
      <w:r>
        <w:rPr>
          <w:rFonts w:ascii="Times New Roman"/>
          <w:b w:val="false"/>
          <w:i w:val="false"/>
          <w:color w:val="000000"/>
          <w:sz w:val="28"/>
        </w:rPr>
        <w:t>
      Нормативтердің мақсаттары үшін Нормативтерге 2-қосымшаға сәйкес ұзақ мерзімді рейтингтердің салыстырмалы кестесіне сәйкес ұзақ мерзімді кредиттік рейтингтер, сақтандыру (қайта сақтандыру) ұйымының қаржылық орнықтылығының рейтингтері немесе оларға сәйкес келетін рейтингтер пайдаланылады.</w:t>
      </w:r>
    </w:p>
    <w:bookmarkStart w:name="z20" w:id="14"/>
    <w:p>
      <w:pPr>
        <w:spacing w:after="0"/>
        <w:ind w:left="0"/>
        <w:jc w:val="both"/>
      </w:pPr>
      <w:r>
        <w:rPr>
          <w:rFonts w:ascii="Times New Roman"/>
          <w:b w:val="false"/>
          <w:i w:val="false"/>
          <w:color w:val="000000"/>
          <w:sz w:val="28"/>
        </w:rPr>
        <w:t xml:space="preserve">
      10-1. Нормативтерді есептеу кезінде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4"/>
    <w:bookmarkStart w:name="z21" w:id="15"/>
    <w:p>
      <w:pPr>
        <w:spacing w:after="0"/>
        <w:ind w:left="0"/>
        <w:jc w:val="both"/>
      </w:pPr>
      <w:r>
        <w:rPr>
          <w:rFonts w:ascii="Times New Roman"/>
          <w:b w:val="false"/>
          <w:i w:val="false"/>
          <w:color w:val="000000"/>
          <w:sz w:val="28"/>
        </w:rPr>
        <w:t>
      10-2.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5"/>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xml:space="preserve">
      3) объективтілік, тәуелсіздік және жауапкершілік: </w:t>
      </w:r>
    </w:p>
    <w:p>
      <w:pPr>
        <w:spacing w:after="0"/>
        <w:ind w:left="0"/>
        <w:jc w:val="both"/>
      </w:pPr>
      <w:r>
        <w:rPr>
          <w:rFonts w:ascii="Times New Roman"/>
          <w:b w:val="false"/>
          <w:i w:val="false"/>
          <w:color w:val="000000"/>
          <w:sz w:val="28"/>
        </w:rPr>
        <w:t xml:space="preserve">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 </w:t>
      </w:r>
    </w:p>
    <w:p>
      <w:pPr>
        <w:spacing w:after="0"/>
        <w:ind w:left="0"/>
        <w:jc w:val="both"/>
      </w:pPr>
      <w:r>
        <w:rPr>
          <w:rFonts w:ascii="Times New Roman"/>
          <w:b w:val="false"/>
          <w:i w:val="false"/>
          <w:color w:val="000000"/>
          <w:sz w:val="28"/>
        </w:rPr>
        <w:t xml:space="preserve">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 </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пруденциялық реттеу мақсаттары үшін растаушы құжаттарды қоса бере отырып, қаржы нарығы мен қаржы ұйымдарын реттеу, бақылау және қадағалау жөніндегі уәкілетті органға рейтингтік агенттіктің рейтингтік бағаларын тану туралы сұрау салуды жібереді.</w:t>
      </w:r>
    </w:p>
    <w:p>
      <w:pPr>
        <w:spacing w:after="0"/>
        <w:ind w:left="0"/>
        <w:jc w:val="both"/>
      </w:pPr>
      <w:r>
        <w:rPr>
          <w:rFonts w:ascii="Times New Roman"/>
          <w:b w:val="false"/>
          <w:i w:val="false"/>
          <w:color w:val="000000"/>
          <w:sz w:val="28"/>
        </w:rPr>
        <w:t>
      Рейтингтік агенттіктің рейтингтік бағаларының сәйкестігі жағдайында қаржы нарығы мен қаржы ұйымдарын реттеу, бақылау және қадағалау жөніндегі уәкілетті орган он жұмыс күнінен кешіктірмей ресми интернет-ресурсында рейтингтік агенттік және рейтингтік агенттіктердің рейтингтік шкалаларының салыстырмалылығы туралы мәліметтер жариялайды.</w:t>
      </w:r>
    </w:p>
    <w:p>
      <w:pPr>
        <w:spacing w:after="0"/>
        <w:ind w:left="0"/>
        <w:jc w:val="both"/>
      </w:pPr>
      <w:r>
        <w:rPr>
          <w:rFonts w:ascii="Times New Roman"/>
          <w:b w:val="false"/>
          <w:i w:val="false"/>
          <w:color w:val="000000"/>
          <w:sz w:val="28"/>
        </w:rPr>
        <w:t xml:space="preserve">
      Рейтингтік агенттік қолданатын әдіснамаларға уәкілетті орган заңдық күш береді."; </w:t>
      </w:r>
    </w:p>
    <w:bookmarkStart w:name="z22" w:id="1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4" w:id="17"/>
    <w:p>
      <w:pPr>
        <w:spacing w:after="0"/>
        <w:ind w:left="0"/>
        <w:jc w:val="both"/>
      </w:pPr>
      <w:r>
        <w:rPr>
          <w:rFonts w:ascii="Times New Roman"/>
          <w:b w:val="false"/>
          <w:i w:val="false"/>
          <w:color w:val="000000"/>
          <w:sz w:val="28"/>
        </w:rPr>
        <w:t xml:space="preserve">
      "1. "Сақтандыру қызметі туралы"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17"/>
    <w:p>
      <w:pPr>
        <w:spacing w:after="0"/>
        <w:ind w:left="0"/>
        <w:jc w:val="both"/>
      </w:pPr>
      <w:r>
        <w:rPr>
          <w:rFonts w:ascii="Times New Roman"/>
          <w:b w:val="false"/>
          <w:i w:val="false"/>
          <w:color w:val="000000"/>
          <w:sz w:val="28"/>
        </w:rPr>
        <w:t>
      1) мынадай талаптардың біріне сәйкес келетін Қазақстан Республикасының екінші деңгейдегі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 төмен емес рейтингтік бағасы немесе Moody's Іnvestors Servіce (Мудис Инвесторс Сервис), Fіtch (Фич) агенттіктерінің, олардың еншілес рейтингтік ұйымдарының және Нормативтердің 10-1-тармағында белгіленген талап сақталған жағдайда, Нормативтердің 10-2-тармағында белгіленген өлшемшартарға сәйкес келетін рейтингтік агенттіктердің (бұдан әрі – басқа рейтингтік агенттіктер)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p>
      <w:pPr>
        <w:spacing w:after="0"/>
        <w:ind w:left="0"/>
        <w:jc w:val="both"/>
      </w:pPr>
      <w:r>
        <w:rPr>
          <w:rFonts w:ascii="Times New Roman"/>
          <w:b w:val="false"/>
          <w:i w:val="false"/>
          <w:color w:val="000000"/>
          <w:sz w:val="28"/>
        </w:rPr>
        <w:t>
      2)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3) бейрезиденттер-банктерде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p>
      <w:pPr>
        <w:spacing w:after="0"/>
        <w:ind w:left="0"/>
        <w:jc w:val="both"/>
      </w:pPr>
      <w:r>
        <w:rPr>
          <w:rFonts w:ascii="Times New Roman"/>
          <w:b w:val="false"/>
          <w:i w:val="false"/>
          <w:color w:val="000000"/>
          <w:sz w:val="28"/>
        </w:rPr>
        <w:t>
      Азиялық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Африкалық даму банкі;</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Кеңесінің Даму Банкі;</w:t>
      </w:r>
    </w:p>
    <w:p>
      <w:pPr>
        <w:spacing w:after="0"/>
        <w:ind w:left="0"/>
        <w:jc w:val="both"/>
      </w:pPr>
      <w:r>
        <w:rPr>
          <w:rFonts w:ascii="Times New Roman"/>
          <w:b w:val="false"/>
          <w:i w:val="false"/>
          <w:color w:val="000000"/>
          <w:sz w:val="28"/>
        </w:rPr>
        <w:t>
      Жеке секторды дамыту жөніндегі исламдық корпорация;</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Жан-жақты инвестицияларға кепілдік беру агенттігі;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12) Standard &amp; Poor's (Стандард энд Пурс) агенттігінің халықаралық шкаласы бойынша "В-"-тен төмен емес тәуелсіз рейтингі немесе басқа рейтингтік агенттіктердің бірінің осындай деңгейдегі рейтингі бар шет мемлекеттердің орталық үкіметтері шығарған, мемлекеттік мәртебесі бар борыштық бағалы қағаздар;</w:t>
      </w:r>
    </w:p>
    <w:p>
      <w:pPr>
        <w:spacing w:after="0"/>
        <w:ind w:left="0"/>
        <w:jc w:val="both"/>
      </w:pPr>
      <w:r>
        <w:rPr>
          <w:rFonts w:ascii="Times New Roman"/>
          <w:b w:val="false"/>
          <w:i w:val="false"/>
          <w:color w:val="000000"/>
          <w:sz w:val="28"/>
        </w:rPr>
        <w:t>
      13) Standard &amp; Poor's (Стандард энд Пурс)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шетелдік эмитенттер шығарған мемлекеттік емес борыштық қағаздар;</w:t>
      </w:r>
    </w:p>
    <w:p>
      <w:pPr>
        <w:spacing w:after="0"/>
        <w:ind w:left="0"/>
        <w:jc w:val="both"/>
      </w:pPr>
      <w:r>
        <w:rPr>
          <w:rFonts w:ascii="Times New Roman"/>
          <w:b w:val="false"/>
          <w:i w:val="false"/>
          <w:color w:val="000000"/>
          <w:sz w:val="28"/>
        </w:rPr>
        <w:t>
      14) тазартылған бағалы қағаздар мен металл шоттар;</w:t>
      </w:r>
    </w:p>
    <w:p>
      <w:pPr>
        <w:spacing w:after="0"/>
        <w:ind w:left="0"/>
        <w:jc w:val="both"/>
      </w:pPr>
      <w:r>
        <w:rPr>
          <w:rFonts w:ascii="Times New Roman"/>
          <w:b w:val="false"/>
          <w:i w:val="false"/>
          <w:color w:val="000000"/>
          <w:sz w:val="28"/>
        </w:rPr>
        <w:t>
      15) қызметін Қазақстан Республикасының аумағында жүзеге асыратын жүзеге асыратын немесе "Астана" Халықаралық қаржы орталығының аумағында жұмыс істейтін, қор биржасының ресми тізіміне енген инвестициялық қорлардың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Exchange Traded Funds (ETF) (Эксчейндж Трэйдэд Фандс) пайлары;</w:t>
      </w:r>
    </w:p>
    <w:p>
      <w:pPr>
        <w:spacing w:after="0"/>
        <w:ind w:left="0"/>
        <w:jc w:val="both"/>
      </w:pPr>
      <w:r>
        <w:rPr>
          <w:rFonts w:ascii="Times New Roman"/>
          <w:b w:val="false"/>
          <w:i w:val="false"/>
          <w:color w:val="000000"/>
          <w:sz w:val="28"/>
        </w:rPr>
        <w:t>
      17)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p>
      <w:pPr>
        <w:spacing w:after="0"/>
        <w:ind w:left="0"/>
        <w:jc w:val="both"/>
      </w:pPr>
      <w:r>
        <w:rPr>
          <w:rFonts w:ascii="Times New Roman"/>
          <w:b w:val="false"/>
          <w:i w:val="false"/>
          <w:color w:val="000000"/>
          <w:sz w:val="28"/>
        </w:rPr>
        <w:t>
      18) Standard &amp; Poor's (Стандард энд Пурс) агенттігінің халықаралық шкаласы бойынша бағалы қағаздың және (немесе) эмитенттің "В-"-тен төмен емес рейтингтік бағасы немесе басқа рейтингтік агенттіктердің бірінің осындай деңгейдегі рейтингі бар исламдық қаржыландыру құралдары;</w:t>
      </w:r>
    </w:p>
    <w:p>
      <w:pPr>
        <w:spacing w:after="0"/>
        <w:ind w:left="0"/>
        <w:jc w:val="both"/>
      </w:pPr>
      <w:r>
        <w:rPr>
          <w:rFonts w:ascii="Times New Roman"/>
          <w:b w:val="false"/>
          <w:i w:val="false"/>
          <w:color w:val="000000"/>
          <w:sz w:val="28"/>
        </w:rPr>
        <w:t>
      19) бас ұйымдарының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 исламдық қаржыландыру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xml:space="preserve">
      4.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 және толықтырулар енгізілсін:</w:t>
      </w:r>
    </w:p>
    <w:bookmarkEnd w:id="18"/>
    <w:bookmarkStart w:name="z37" w:id="19"/>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 сақтауы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xml:space="preserve">
      "4.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4-1-тармағында белгіленген талап сақталған жағдайда, Қағидалардың 4-2-тармағында белгіленген өлшемшартарға сәйкес келетін рейтингтік агенттіктердің (бұдан әрі – басқа рейтингтік агенттіктер) бағаларын таниды.";</w:t>
      </w:r>
    </w:p>
    <w:bookmarkEnd w:id="20"/>
    <w:bookmarkStart w:name="z40" w:id="21"/>
    <w:p>
      <w:pPr>
        <w:spacing w:after="0"/>
        <w:ind w:left="0"/>
        <w:jc w:val="both"/>
      </w:pPr>
      <w:r>
        <w:rPr>
          <w:rFonts w:ascii="Times New Roman"/>
          <w:b w:val="false"/>
          <w:i w:val="false"/>
          <w:color w:val="000000"/>
          <w:sz w:val="28"/>
        </w:rPr>
        <w:t xml:space="preserve">
      мынадай мазмұндағы 4-1 және 4-2-тармақтармен толықтырылсын: </w:t>
      </w:r>
    </w:p>
    <w:bookmarkEnd w:id="21"/>
    <w:bookmarkStart w:name="z41" w:id="22"/>
    <w:p>
      <w:pPr>
        <w:spacing w:after="0"/>
        <w:ind w:left="0"/>
        <w:jc w:val="both"/>
      </w:pPr>
      <w:r>
        <w:rPr>
          <w:rFonts w:ascii="Times New Roman"/>
          <w:b w:val="false"/>
          <w:i w:val="false"/>
          <w:color w:val="000000"/>
          <w:sz w:val="28"/>
        </w:rPr>
        <w:t>
      "4-1. Пруденциялық нормативтерді есептеу кезінде Қағидалардың 4-2-тармағында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22"/>
    <w:bookmarkStart w:name="z42" w:id="23"/>
    <w:p>
      <w:pPr>
        <w:spacing w:after="0"/>
        <w:ind w:left="0"/>
        <w:jc w:val="both"/>
      </w:pPr>
      <w:r>
        <w:rPr>
          <w:rFonts w:ascii="Times New Roman"/>
          <w:b w:val="false"/>
          <w:i w:val="false"/>
          <w:color w:val="000000"/>
          <w:sz w:val="28"/>
        </w:rPr>
        <w:t>
      4-2.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23"/>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xml:space="preserve">
      3) объективтілік, тәуелсіздік және жауапкершілік: </w:t>
      </w:r>
    </w:p>
    <w:p>
      <w:pPr>
        <w:spacing w:after="0"/>
        <w:ind w:left="0"/>
        <w:jc w:val="both"/>
      </w:pPr>
      <w:r>
        <w:rPr>
          <w:rFonts w:ascii="Times New Roman"/>
          <w:b w:val="false"/>
          <w:i w:val="false"/>
          <w:color w:val="000000"/>
          <w:sz w:val="28"/>
        </w:rPr>
        <w:t xml:space="preserve">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 </w:t>
      </w:r>
    </w:p>
    <w:p>
      <w:pPr>
        <w:spacing w:after="0"/>
        <w:ind w:left="0"/>
        <w:jc w:val="both"/>
      </w:pPr>
      <w:r>
        <w:rPr>
          <w:rFonts w:ascii="Times New Roman"/>
          <w:b w:val="false"/>
          <w:i w:val="false"/>
          <w:color w:val="000000"/>
          <w:sz w:val="28"/>
        </w:rPr>
        <w:t xml:space="preserve">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 </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пруденциялық реттеу мақсаттары үшін растаушы құжаттарды қоса бере отырып, уәкілетті органға рейтингтік агенттіктің рейтингтік бағаларын тану туралы сұрау салуды жібереді;</w:t>
      </w:r>
    </w:p>
    <w:p>
      <w:pPr>
        <w:spacing w:after="0"/>
        <w:ind w:left="0"/>
        <w:jc w:val="both"/>
      </w:pPr>
      <w:r>
        <w:rPr>
          <w:rFonts w:ascii="Times New Roman"/>
          <w:b w:val="false"/>
          <w:i w:val="false"/>
          <w:color w:val="000000"/>
          <w:sz w:val="28"/>
        </w:rPr>
        <w:t>
      Рейтингтік агенттіктің рейтингтік бағаларының сәйкестігі жағдайында уәкілетті орган он жұмыс күнінен кешіктірмей ресми интернет-ресурсында рейтингтік агенттік және рейтингтік агенттіктердің рейтингтік шкалаларының салыстырмалылығы туралы мәліметтер жариялайды.</w:t>
      </w:r>
    </w:p>
    <w:p>
      <w:pPr>
        <w:spacing w:after="0"/>
        <w:ind w:left="0"/>
        <w:jc w:val="both"/>
      </w:pPr>
      <w:r>
        <w:rPr>
          <w:rFonts w:ascii="Times New Roman"/>
          <w:b w:val="false"/>
          <w:i w:val="false"/>
          <w:color w:val="000000"/>
          <w:sz w:val="28"/>
        </w:rPr>
        <w:t>
      Рейтингтік агенттік қолданатын әдіснамаларға уәкілетті орган заңдық күш береді.".</w:t>
      </w:r>
    </w:p>
    <w:bookmarkStart w:name="z43" w:id="24"/>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 және толықтырулар енгізілсін:</w:t>
      </w:r>
    </w:p>
    <w:bookmarkEnd w:id="24"/>
    <w:bookmarkStart w:name="z44" w:id="2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xml:space="preserve">
      "8.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8-1-тармағында белгіленген талап сақталған жағдайда, Қағидалардың 8-2-тармағында белгіленген өлшемшартарға сәйкес келетін рейтингтік агенттіктердің (бұдан әрі – басқа рейтингтік агенттіктер) бағаларын таниды.";</w:t>
      </w:r>
    </w:p>
    <w:bookmarkEnd w:id="26"/>
    <w:bookmarkStart w:name="z47" w:id="27"/>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27"/>
    <w:bookmarkStart w:name="z48" w:id="28"/>
    <w:p>
      <w:pPr>
        <w:spacing w:after="0"/>
        <w:ind w:left="0"/>
        <w:jc w:val="both"/>
      </w:pPr>
      <w:r>
        <w:rPr>
          <w:rFonts w:ascii="Times New Roman"/>
          <w:b w:val="false"/>
          <w:i w:val="false"/>
          <w:color w:val="000000"/>
          <w:sz w:val="28"/>
        </w:rPr>
        <w:t>
      "8-1. Пруденциялық нормативтерді есептеу кезінде Қағидалардың 8-2-тармағында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28"/>
    <w:bookmarkStart w:name="z49" w:id="29"/>
    <w:p>
      <w:pPr>
        <w:spacing w:after="0"/>
        <w:ind w:left="0"/>
        <w:jc w:val="both"/>
      </w:pPr>
      <w:r>
        <w:rPr>
          <w:rFonts w:ascii="Times New Roman"/>
          <w:b w:val="false"/>
          <w:i w:val="false"/>
          <w:color w:val="000000"/>
          <w:sz w:val="28"/>
        </w:rPr>
        <w:t>
      8-2.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29"/>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xml:space="preserve">
      2) рейтингтік агенттіктің меншікті капиталының ең аз мөлшері кемінде 600 000 000 (алты жүз миллион) теңгеге баламалы соманы құрайды; </w:t>
      </w:r>
    </w:p>
    <w:p>
      <w:pPr>
        <w:spacing w:after="0"/>
        <w:ind w:left="0"/>
        <w:jc w:val="both"/>
      </w:pPr>
      <w:r>
        <w:rPr>
          <w:rFonts w:ascii="Times New Roman"/>
          <w:b w:val="false"/>
          <w:i w:val="false"/>
          <w:color w:val="000000"/>
          <w:sz w:val="28"/>
        </w:rPr>
        <w:t xml:space="preserve">
      3) объективтілік, тәуелсіздік және жауапкершілік: </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пруденциялық реттеу мақсаттары үшін растаушы құжаттарды қоса бере отырып, уәкілетті органға рейтингтік агенттіктің рейтингтік бағаларын тану туралы сұрау салуды жібереді.</w:t>
      </w:r>
    </w:p>
    <w:p>
      <w:pPr>
        <w:spacing w:after="0"/>
        <w:ind w:left="0"/>
        <w:jc w:val="both"/>
      </w:pPr>
      <w:r>
        <w:rPr>
          <w:rFonts w:ascii="Times New Roman"/>
          <w:b w:val="false"/>
          <w:i w:val="false"/>
          <w:color w:val="000000"/>
          <w:sz w:val="28"/>
        </w:rPr>
        <w:t>
      Рейтингтік агенттіктің рейтингтік бағаларының сәйкестігі жағдайында уәкілетті орган он жұмыс күнінен кешіктірмей ресми интернет-ресурсында рейтингтік агенттік және рейтингтік агенттіктердің рейтингтік шкалаларының салыстырмалылығы туралы мәліметтер жариялайды.</w:t>
      </w:r>
    </w:p>
    <w:p>
      <w:pPr>
        <w:spacing w:after="0"/>
        <w:ind w:left="0"/>
        <w:jc w:val="both"/>
      </w:pPr>
      <w:r>
        <w:rPr>
          <w:rFonts w:ascii="Times New Roman"/>
          <w:b w:val="false"/>
          <w:i w:val="false"/>
          <w:color w:val="000000"/>
          <w:sz w:val="28"/>
        </w:rPr>
        <w:t>
      Рейтингтік агенттік қолданатын әдіснамаларға уәкілетті орган заңдық күш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