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307d" w14:textId="da43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 Қазақстан Республикасы Ғылым және жоғары білім министрінің 2022 жылғы 13 желтоқсандағы № 184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 тамыздағы № 372 бұйрығы. Қазақстан Республикасының Әділет министрлігінде 2023 жылғы 4 тамызда № 33234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"Болашақ" халықаралық стипендиясын іске асырудың кейбір шаралары туралы" Қазақстан Республикасы Ғылым және жоғары білім министрінің 2022 жылғы 13 желтоқсандағы № 184 </w:t>
      </w:r>
      <w:r>
        <w:rPr>
          <w:rFonts w:ascii="Times New Roman"/>
          <w:b w:val="false"/>
          <w:i w:val="false"/>
          <w:color w:val="000000"/>
          <w:sz w:val="28"/>
        </w:rPr>
        <w:t>бұйрығына</w:t>
      </w:r>
      <w:r>
        <w:rPr>
          <w:rFonts w:ascii="Times New Roman"/>
          <w:b w:val="false"/>
          <w:i w:val="false"/>
          <w:color w:val="000000"/>
          <w:sz w:val="28"/>
        </w:rPr>
        <w:t xml:space="preserve"> (№31101 нормативтік-құқықтық актілердің мемлекеттік тіркеу тізімінде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2023 жылға "Болашақ" халықаралық стипендиясы шеңберінде шетелде оқуға арналған мәндес мамандықтар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сәйкес жаңа редакцияда бекітілсін.</w:t>
      </w:r>
    </w:p>
    <w:bookmarkStart w:name="z3" w:id="0"/>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 </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жетекшілік ететін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 министрі</w:t>
            </w:r>
            <w:r>
              <w:br/>
            </w:r>
            <w:r>
              <w:rPr>
                <w:rFonts w:ascii="Times New Roman"/>
                <w:b w:val="false"/>
                <w:i w:val="false"/>
                <w:color w:val="000000"/>
                <w:sz w:val="20"/>
              </w:rPr>
              <w:t>2023 жылғы 1 тамыздағы</w:t>
            </w:r>
            <w:r>
              <w:br/>
            </w:r>
            <w:r>
              <w:rPr>
                <w:rFonts w:ascii="Times New Roman"/>
                <w:b w:val="false"/>
                <w:i w:val="false"/>
                <w:color w:val="000000"/>
                <w:sz w:val="20"/>
              </w:rPr>
              <w:t>№ 372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184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2023 жылға "Болашақ" халықаралық стипендиясы шеңберінде шетелде оқуға арналған мәндес мамандықтар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Академиялық оқу үшін мамандықтар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және жоғары оқу орнынан кейінгі білімі бар кадрларды даярлау бағыттары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Мамандықтар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Жаратылыстану-техникалық бағыттары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Инженерлік-техникалық мамандықтар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 Технологиялар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деректерді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 және криптография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қауіпсіздік.</w:t>
            </w:r>
          </w:p>
          <w:p>
            <w:pPr>
              <w:spacing w:after="20"/>
              <w:ind w:left="20"/>
              <w:jc w:val="both"/>
            </w:pPr>
            <w:r>
              <w:rPr>
                <w:rFonts w:ascii="Times New Roman"/>
                <w:b w:val="false"/>
                <w:i w:val="false"/>
                <w:color w:val="000000"/>
                <w:sz w:val="20"/>
              </w:rPr>
              <w:t>
Ұлттық қауіпсіздік және әскери іс: Ұлттық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p>
            <w:pPr>
              <w:spacing w:after="20"/>
              <w:ind w:left="20"/>
              <w:jc w:val="both"/>
            </w:pPr>
            <w:r>
              <w:rPr>
                <w:rFonts w:ascii="Times New Roman"/>
                <w:b w:val="false"/>
                <w:i w:val="false"/>
                <w:color w:val="000000"/>
                <w:sz w:val="20"/>
              </w:rPr>
              <w:t>
Инженерлік, өңдеу және құрылыс салалары:</w:t>
            </w:r>
          </w:p>
          <w:p>
            <w:pPr>
              <w:spacing w:after="20"/>
              <w:ind w:left="20"/>
              <w:jc w:val="both"/>
            </w:pPr>
            <w:r>
              <w:rPr>
                <w:rFonts w:ascii="Times New Roman"/>
                <w:b w:val="false"/>
                <w:i w:val="false"/>
                <w:color w:val="000000"/>
                <w:sz w:val="20"/>
              </w:rPr>
              <w:t>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Сервистік платформаларды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w:t>
            </w:r>
          </w:p>
          <w:p>
            <w:pPr>
              <w:spacing w:after="20"/>
              <w:ind w:left="20"/>
              <w:jc w:val="both"/>
            </w:pPr>
            <w:r>
              <w:rPr>
                <w:rFonts w:ascii="Times New Roman"/>
                <w:b w:val="false"/>
                <w:i w:val="false"/>
                <w:color w:val="000000"/>
                <w:sz w:val="20"/>
              </w:rPr>
              <w:t>
Бизнес, басқару және құқық: Бизнес және басқару.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жүйесі</w:t>
            </w:r>
          </w:p>
          <w:p>
            <w:pPr>
              <w:spacing w:after="20"/>
              <w:ind w:left="20"/>
              <w:jc w:val="both"/>
            </w:pPr>
            <w:r>
              <w:rPr>
                <w:rFonts w:ascii="Times New Roman"/>
                <w:b w:val="false"/>
                <w:i w:val="false"/>
                <w:color w:val="000000"/>
                <w:sz w:val="20"/>
              </w:rPr>
              <w:t xml:space="preserve">
Басқарудың зияткерлік жүйелері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 Физика ғылымдары.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Наноматериалдар мен нанотехнологиялар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 Физика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және аэроғарыш техникасы. Әуе қозғалысын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Урбанистика. Сәулет. Қалаларды басқару. Тұрақты қалалар. Ақылды қала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 бойынша).</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Ядролық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инжинирингі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телекоммуникациялық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 Математика және статистика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Гигиена және өндірісте еңбекті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Сәулет және құрылыс.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өнімдерінің технологиясы. Тамақ қауіпсіздігі. Тамақ өнімдері өндірісінің технологиясы. Етті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Стандарттау, сертификаттау және метрология.</w:t>
            </w:r>
          </w:p>
          <w:p>
            <w:pPr>
              <w:spacing w:after="20"/>
              <w:ind w:left="20"/>
              <w:jc w:val="both"/>
            </w:pPr>
            <w:r>
              <w:rPr>
                <w:rFonts w:ascii="Times New Roman"/>
                <w:b w:val="false"/>
                <w:i w:val="false"/>
                <w:color w:val="000000"/>
                <w:sz w:val="20"/>
              </w:rPr>
              <w:t>
Ауыл шаруашылығы және биоресурстар: Агрономия. Мал шаруашылығы. Балық шаруашылығы.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технологиялары. Көлік инженериясы.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 және химия ғылымдары.</w:t>
            </w:r>
          </w:p>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Сәулет және құрылыс. Стандарттау, сертификаттау және метрология (салалар бойынша).</w:t>
            </w:r>
          </w:p>
          <w:p>
            <w:pPr>
              <w:spacing w:after="20"/>
              <w:ind w:left="20"/>
              <w:jc w:val="both"/>
            </w:pPr>
            <w:r>
              <w:rPr>
                <w:rFonts w:ascii="Times New Roman"/>
                <w:b w:val="false"/>
                <w:i w:val="false"/>
                <w:color w:val="000000"/>
                <w:sz w:val="20"/>
              </w:rPr>
              <w:t>
Қызметтер: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технологиялар мен жүйлер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 Сәулет және құрылыс. Су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мен жүйелер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Ақпараттық-коммуникациялық технологиялар: Ақпараттық-коммуникациялық технологиялар. Телекоммуникациялар.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Биоинженерия. Биомедицина.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және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Ауыл шаруашылығы және биоресурстар: Орман шаруашылығы.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Инженерлік, өңдеу және құрылыс салалары: Өндірістік және өңдеу салалары. Су шаруашылығы.</w:t>
            </w:r>
          </w:p>
          <w:p>
            <w:pPr>
              <w:spacing w:after="20"/>
              <w:ind w:left="20"/>
              <w:jc w:val="both"/>
            </w:pPr>
            <w:r>
              <w:rPr>
                <w:rFonts w:ascii="Times New Roman"/>
                <w:b w:val="false"/>
                <w:i w:val="false"/>
                <w:color w:val="000000"/>
                <w:sz w:val="20"/>
              </w:rPr>
              <w:t>
Ауыл шаруашылығы және биоресурстар: Агрономия. Мал шаруашылығы. Орман шаруашылығы. Балық шаруашылығы. Жерге орналастыру. Су ресурстары және суды пайдалану. Агроинженерия.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Инженерлік, өңдеу және құрылыс салалары: Инженерия және инженерлік іс. Өндірістік және өңдеу салалары. Сәулет және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Геодезия. Геофизика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Геология.</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Кадастр.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Жаратылыстану ғылымдары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моделдеу. Қолданбалы математика. Статистикалық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Жаратылыстану ғылымдары пәні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Физика ғылымдары.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Жаратылыстану ғылымдары пәні бойынша мұғалімдер даярлау.</w:t>
            </w:r>
          </w:p>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Физика және химия ғылымдары.</w:t>
            </w:r>
          </w:p>
          <w:p>
            <w:pPr>
              <w:spacing w:after="20"/>
              <w:ind w:left="20"/>
              <w:jc w:val="both"/>
            </w:pPr>
            <w:r>
              <w:rPr>
                <w:rFonts w:ascii="Times New Roman"/>
                <w:b w:val="false"/>
                <w:i w:val="false"/>
                <w:color w:val="000000"/>
                <w:sz w:val="20"/>
              </w:rPr>
              <w:t>
Инженерлік, өңдеу және құрылыс салалары: Инженерия және инженерлік іс. Өндірістік және өңдеу салалары.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Жасыл технологиялар. Экотехнология. Сейсмология.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 Физика және химия ғылымдары.</w:t>
            </w:r>
          </w:p>
          <w:p>
            <w:pPr>
              <w:spacing w:after="20"/>
              <w:ind w:left="20"/>
              <w:jc w:val="both"/>
            </w:pP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Педагогика ғылымдары: Жаратылыстану ғылымдары пәні бойынша мұғалімдер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Медицина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 және сабақтас ғылымдар. Қоршаған орта.</w:t>
            </w:r>
          </w:p>
          <w:p>
            <w:pPr>
              <w:spacing w:after="20"/>
              <w:ind w:left="20"/>
              <w:jc w:val="both"/>
            </w:pPr>
            <w:r>
              <w:rPr>
                <w:rFonts w:ascii="Times New Roman"/>
                <w:b w:val="false"/>
                <w:i w:val="false"/>
                <w:color w:val="000000"/>
                <w:sz w:val="20"/>
              </w:rPr>
              <w:t>
Ауыл шаруашылығы және биоресурстар: Мал шаруашылығы. Балық шаруашылығы.</w:t>
            </w:r>
          </w:p>
          <w:p>
            <w:pPr>
              <w:spacing w:after="20"/>
              <w:ind w:left="20"/>
              <w:jc w:val="both"/>
            </w:pPr>
            <w:r>
              <w:rPr>
                <w:rFonts w:ascii="Times New Roman"/>
                <w:b w:val="false"/>
                <w:i w:val="false"/>
                <w:color w:val="000000"/>
                <w:sz w:val="20"/>
              </w:rPr>
              <w:t>
Ветеринария: Ветеринария.</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 Инфекциялық (жұқпалы) аурулар.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Кардиохирургия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Сәулелі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және гематология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 анатомия (цитопатология)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 Жаратылыстану ғылымдары, математика және статистика: Биология және сабақтас ғылымдар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және психотерапия)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медицинасы. Физикалық медицина және реабилитация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p>
            <w:pPr>
              <w:spacing w:after="20"/>
              <w:ind w:left="20"/>
              <w:jc w:val="both"/>
            </w:pPr>
            <w:r>
              <w:rPr>
                <w:rFonts w:ascii="Times New Roman"/>
                <w:b w:val="false"/>
                <w:i w:val="false"/>
                <w:color w:val="000000"/>
                <w:sz w:val="20"/>
              </w:rPr>
              <w:t>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(нейрохирургия, абдоминалды, ангиохирургия, торакалды хирургия, көмей хирургиясы, микрохирургия, онкохирургия; бас сүйек-жақ-бет пластикалық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және ультрадыбыстық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Фармацевтическое Құқық. Фармакоэкономика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Қоғамдық-гуманитарлық бағыттар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Әлеуметтік ғылымдар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 Өнермен және гуманитарлық ғылымдармен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Мәдениеттану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саясат, мемлекеттік басқару, сыбайлас жемқорлыққа қарсы саясат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 Цифрлық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HR-менеджмент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Математика және статистика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Математика және статистика. Бизнес, басқару және құқық: Бизнес және басқару Құқық.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Халықаралық құқық және қауіпсіздік. Заңтану. Зияткерлік меншік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 Әлеуметтік педагогика және өзін-өзі тану мамандарын даярлау.</w:t>
            </w:r>
          </w:p>
          <w:p>
            <w:pPr>
              <w:spacing w:after="20"/>
              <w:ind w:left="20"/>
              <w:jc w:val="both"/>
            </w:pPr>
            <w:r>
              <w:rPr>
                <w:rFonts w:ascii="Times New Roman"/>
                <w:b w:val="false"/>
                <w:i w:val="false"/>
                <w:color w:val="000000"/>
                <w:sz w:val="20"/>
              </w:rPr>
              <w:t>
Арнайы педагогика.</w:t>
            </w:r>
          </w:p>
          <w:p>
            <w:pPr>
              <w:spacing w:after="20"/>
              <w:ind w:left="20"/>
              <w:jc w:val="both"/>
            </w:pPr>
            <w:r>
              <w:rPr>
                <w:rFonts w:ascii="Times New Roman"/>
                <w:b w:val="false"/>
                <w:i w:val="false"/>
                <w:color w:val="000000"/>
                <w:sz w:val="20"/>
              </w:rPr>
              <w:t>
Педагогика ғылымдарымен байланысты пәнаралық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және спорт. Спорт жаттықтырушысы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Әлеуметтік кәсіпкерлік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xml:space="preserve">
Әлеуметтік ғылымдар, журналистика және ақпарат: Әлеуметтік ғылымдар. </w:t>
            </w:r>
          </w:p>
          <w:p>
            <w:pPr>
              <w:spacing w:after="20"/>
              <w:ind w:left="20"/>
              <w:jc w:val="both"/>
            </w:pP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p>
          <w:p>
            <w:pPr>
              <w:spacing w:after="20"/>
              <w:ind w:left="20"/>
              <w:jc w:val="both"/>
            </w:pPr>
            <w:r>
              <w:rPr>
                <w:rFonts w:ascii="Times New Roman"/>
                <w:b w:val="false"/>
                <w:i w:val="false"/>
                <w:color w:val="000000"/>
                <w:sz w:val="20"/>
              </w:rPr>
              <w:t>
Бизнес, басқару және құқық: Бизнес және басқару. Құқық.</w:t>
            </w:r>
          </w:p>
          <w:p>
            <w:pPr>
              <w:spacing w:after="20"/>
              <w:ind w:left="20"/>
              <w:jc w:val="both"/>
            </w:pP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 қауіпсіздік.</w:t>
            </w:r>
          </w:p>
          <w:p>
            <w:pPr>
              <w:spacing w:after="20"/>
              <w:ind w:left="20"/>
              <w:jc w:val="both"/>
            </w:pPr>
            <w:r>
              <w:rPr>
                <w:rFonts w:ascii="Times New Roman"/>
                <w:b w:val="false"/>
                <w:i w:val="false"/>
                <w:color w:val="000000"/>
                <w:sz w:val="20"/>
              </w:rPr>
              <w:t>
Денсаулық сақтау: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оқыту әдіснамасы мен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ғылымдары: Педагогика және психология. Мектепке дейінгі тәрбиелеу және оқыту педагогикасы.</w:t>
            </w:r>
          </w:p>
          <w:p>
            <w:pPr>
              <w:spacing w:after="20"/>
              <w:ind w:left="20"/>
              <w:jc w:val="both"/>
            </w:pPr>
            <w:r>
              <w:rPr>
                <w:rFonts w:ascii="Times New Roman"/>
                <w:b w:val="false"/>
                <w:i w:val="false"/>
                <w:color w:val="000000"/>
                <w:sz w:val="20"/>
              </w:rPr>
              <w:t>
Пәндік мамандандырылмаған мұғалімдерді даярлау. Жалпы дамудың пәндік мамандандырылған мұғалімдерін даярлау. Жаратылыстану пәндері бойынша педагогтер даярлау. Гуманитарлық пәндер бойынша педагогтер даярлау. Тіл мен әдебиет педагогін даярлау.</w:t>
            </w:r>
          </w:p>
          <w:p>
            <w:pPr>
              <w:spacing w:after="20"/>
              <w:ind w:left="20"/>
              <w:jc w:val="both"/>
            </w:pPr>
            <w:r>
              <w:rPr>
                <w:rFonts w:ascii="Times New Roman"/>
                <w:b w:val="false"/>
                <w:i w:val="false"/>
                <w:color w:val="000000"/>
                <w:sz w:val="20"/>
              </w:rPr>
              <w:t>
Әлеуметтік педагогика және өзін-өзі тану мамандарын даярлау. Арнайы педагогика.</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Креативті индустрия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Бизнес, басқару және құқық: Бизнес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және вокал өнері. Дирижерлық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Сәндік өнері. Кескіндеме/Станоктық кескіндеме. Бейнелеу өнері. Мүсін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өнері. Режиссура. Продюсерлік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 Сценарий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телевизиялық технологиялар. Анимация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 Гуманитарлық ғылымдар. Ақпараттық-коммуникациялық технологиялар: Ақпараттық-коммуникациялық технологиялар.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 Гуманитарлық ғылымдар. Тіл мен әдебиет.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гуманитарлық ғылымдар: Өнер. Гуманитарлық ғылымдар. </w:t>
            </w:r>
          </w:p>
          <w:p>
            <w:pPr>
              <w:spacing w:after="20"/>
              <w:ind w:left="20"/>
              <w:jc w:val="both"/>
            </w:pPr>
            <w:r>
              <w:rPr>
                <w:rFonts w:ascii="Times New Roman"/>
                <w:b w:val="false"/>
                <w:i w:val="false"/>
                <w:color w:val="000000"/>
                <w:sz w:val="20"/>
              </w:rPr>
              <w:t>
Педагогика ғылымдары: Гуманитарлық пәндер бойынша педагогтер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Қызмет көрсету саласы.</w:t>
            </w:r>
          </w:p>
          <w:p>
            <w:pPr>
              <w:spacing w:after="20"/>
              <w:ind w:left="20"/>
              <w:jc w:val="both"/>
            </w:pPr>
            <w:r>
              <w:rPr>
                <w:rFonts w:ascii="Times New Roman"/>
                <w:b w:val="false"/>
                <w:i w:val="false"/>
                <w:color w:val="000000"/>
                <w:sz w:val="20"/>
              </w:rPr>
              <w:t>
Бизнес, басқару және құқық: Бизнес және басқару</w:t>
            </w:r>
          </w:p>
        </w:tc>
      </w:tr>
    </w:tbl>
    <w:p>
      <w:pPr>
        <w:spacing w:after="0"/>
        <w:ind w:left="0"/>
        <w:jc w:val="both"/>
      </w:pPr>
      <w:r>
        <w:rPr>
          <w:rFonts w:ascii="Times New Roman"/>
          <w:b w:val="false"/>
          <w:i w:val="false"/>
          <w:color w:val="000000"/>
          <w:sz w:val="28"/>
        </w:rPr>
        <w:t>
      * Осы Тізбе "Болашақ" халықаралық стипендиясын тағайындау конкурсына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       ** 2023 жылға арналған "Болашақ" халықаралық стипендиясын тағайындау үшін басым мамандықтар тізбесінде "Жаратылыстану ғылымдары" және "Инженерлік-техникалық мамандықтар" бөлімдеріне енген мамандықтар техникалық бағыттағы мамандықтарға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