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cc07" w14:textId="8e0c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14 шілдедегі № 261 және Қазақстан Республикасы Ұлттық экономика министрінің 2023 жылғы 14 шілдедегі № 139 бірлескен бұйрығы. Қазақстан Республикасының Әділет министрлігінде 2023 жылғы 19 шілдеде № 33116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тұқымды мал шаруашылығы және балара шаруашылығы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асыл тұқымдық орталықтарға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дистрибьютерлік орталықтарға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палаталарға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бонитерлерге (сыныптаушыларға)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техник-ұрықтандырушыларға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эмбриондарды телу (ауыстырып салу) жөніндегі мамандарға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асыл тұқымдық орталықтарға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дистрибьютерлік орталықтарға арналған асыл тұқымды мал шаруашылығы және балара шаруашылығы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16"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17"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18" w:id="4"/>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4"/>
    <w:bookmarkStart w:name="z1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5"/>
    <w:bookmarkStart w:name="z20"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1-қосымша</w:t>
            </w:r>
          </w:p>
        </w:tc>
      </w:tr>
    </w:tbl>
    <w:bookmarkStart w:name="z23" w:id="7"/>
    <w:p>
      <w:pPr>
        <w:spacing w:after="0"/>
        <w:ind w:left="0"/>
        <w:jc w:val="left"/>
      </w:pPr>
      <w:r>
        <w:rPr>
          <w:rFonts w:ascii="Times New Roman"/>
          <w:b/>
          <w:i w:val="false"/>
          <w:color w:val="000000"/>
        </w:rPr>
        <w:t xml:space="preserve"> Асыл тұқымды мал шаруашылығы және балара шаруашылығы саласындағы тәуекел дәрежесін бағалау өлшемшарттары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Асыл тұқымды мал шаруашылығы және балара шаруашылығы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№17371 болып тіркелген) сәйкес, асыл тұқымды мал шаруашылығы және балара шаруашылығы саласындағы бақылау субъектілерін тәуекел дәрежелеріне жатқызу үшін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хабарламалар бойынша талаптарға сәйкестігіне жүргізілетін тексеруді (бұдан әрі – талаптарға сәйкестігіне тексеру) және бақылау субъектісіне (объектісіне) бара отырып профилактикалық бақылауды жүргізу кезінде бақылау субъектілерін (объектілерін) іріктеу үшін әзірленді.</w:t>
      </w:r>
    </w:p>
    <w:bookmarkStart w:name="z26"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27" w:id="10"/>
    <w:p>
      <w:pPr>
        <w:spacing w:after="0"/>
        <w:ind w:left="0"/>
        <w:jc w:val="both"/>
      </w:pPr>
      <w:r>
        <w:rPr>
          <w:rFonts w:ascii="Times New Roman"/>
          <w:b w:val="false"/>
          <w:i w:val="false"/>
          <w:color w:val="000000"/>
          <w:sz w:val="28"/>
        </w:rPr>
        <w:t>
      1) бақылау субъектілері (объектілері) – асыл тұқымдық және дистрибьютерлік орталықтар, асыл тұқымды мал шаруашылығын дамытуға бюджеттік субсидиялар алған жеке және заңды тұлғалар, республикалық палаталар, бонитерлер (сыныптаушылар), техник-ұрықтандырушылар, эмбриондарды телу (ауыстырып салу) жөніндегі мамандар;</w:t>
      </w:r>
    </w:p>
    <w:bookmarkEnd w:id="10"/>
    <w:bookmarkStart w:name="z28" w:id="11"/>
    <w:p>
      <w:pPr>
        <w:spacing w:after="0"/>
        <w:ind w:left="0"/>
        <w:jc w:val="both"/>
      </w:pPr>
      <w:r>
        <w:rPr>
          <w:rFonts w:ascii="Times New Roman"/>
          <w:b w:val="false"/>
          <w:i w:val="false"/>
          <w:color w:val="000000"/>
          <w:sz w:val="28"/>
        </w:rPr>
        <w:t>
      2) балл – тәуекелді есептеудің сандық өлшемі;</w:t>
      </w:r>
    </w:p>
    <w:bookmarkEnd w:id="11"/>
    <w:bookmarkStart w:name="z29" w:id="12"/>
    <w:p>
      <w:pPr>
        <w:spacing w:after="0"/>
        <w:ind w:left="0"/>
        <w:jc w:val="both"/>
      </w:pPr>
      <w:r>
        <w:rPr>
          <w:rFonts w:ascii="Times New Roman"/>
          <w:b w:val="false"/>
          <w:i w:val="false"/>
          <w:color w:val="000000"/>
          <w:sz w:val="28"/>
        </w:rPr>
        <w:t>
      3) болмашы бұзушылық – асыл тұқымды мал шаруашылығы және балара шаруашылығы саласындағы нормативтік құқықтық актілерде белгіленген талаптарды құжаттаманы және есептілікті ұсынбау не оларды есепке алуды уақтылы жүргізбеу бөлігінде бұзу;</w:t>
      </w:r>
    </w:p>
    <w:bookmarkEnd w:id="12"/>
    <w:bookmarkStart w:name="z30" w:id="13"/>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31" w:id="14"/>
    <w:p>
      <w:pPr>
        <w:spacing w:after="0"/>
        <w:ind w:left="0"/>
        <w:jc w:val="both"/>
      </w:pPr>
      <w:r>
        <w:rPr>
          <w:rFonts w:ascii="Times New Roman"/>
          <w:b w:val="false"/>
          <w:i w:val="false"/>
          <w:color w:val="000000"/>
          <w:sz w:val="28"/>
        </w:rPr>
        <w:t>
      5) елеулі бұзушылық – асыл тұқымды мал шаруашылығы және балара шаруашылығы саласындағы нормативтік құқықтық актілерде белгіленген, өрескел және болмашы бұзушылықтарға жатпайтын талаптарды бұзу;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 – Қазақстан Республикасының асыл тұқымды мал шаруашылығы және балара шаруашылығы саласындағы заңнамасында белгіленген,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жеке және заңды тұлғалардың бонитирлеуден (бағалаудан) өтпеген асыл тұқымды өнімді (материалды) асыл тұқымдық куәлік бермей өткізуі; жеке және заңды тұлғалардың асыл тұқымдық куәлік бермей асыл тұқымды өнімді (материалды) өткізуі; асыл тұқымды мал шаруашылығы саласындағы субъектілердің республикалық палатада тіркелмеген асыл тұқымды жануарлардан алынған ұрықтар мен эмбриондарды пайдалануы бөлігінде көзделген әкімшілік жауапкершілікке әкеліп соқтыратын талаптарды бұзу;</w:t>
      </w:r>
    </w:p>
    <w:bookmarkStart w:name="z33" w:id="15"/>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5"/>
    <w:bookmarkStart w:name="z34" w:id="16"/>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6"/>
    <w:bookmarkStart w:name="z35" w:id="17"/>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7"/>
    <w:bookmarkStart w:name="z36" w:id="18"/>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37" w:id="19"/>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38" w:id="20"/>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40" w:id="21"/>
    <w:p>
      <w:pPr>
        <w:spacing w:after="0"/>
        <w:ind w:left="0"/>
        <w:jc w:val="left"/>
      </w:pPr>
      <w:r>
        <w:rPr>
          <w:rFonts w:ascii="Times New Roman"/>
          <w:b/>
          <w:i w:val="false"/>
          <w:color w:val="000000"/>
        </w:rPr>
        <w:t xml:space="preserve"> 2-тарау. Бақылау субъектілеріне (объектілеріне)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1"/>
    <w:bookmarkStart w:name="z41" w:id="22"/>
    <w:p>
      <w:pPr>
        <w:spacing w:after="0"/>
        <w:ind w:left="0"/>
        <w:jc w:val="both"/>
      </w:pPr>
      <w:r>
        <w:rPr>
          <w:rFonts w:ascii="Times New Roman"/>
          <w:b w:val="false"/>
          <w:i w:val="false"/>
          <w:color w:val="000000"/>
          <w:sz w:val="28"/>
        </w:rPr>
        <w:t>
      3. Талаптарға сәйкестігін тексеру және (немесе) бақылау субъектісіне (объектісіне) бара отырып профилактикалық бақылауды жүзеге асыру кезінде тәуекелдерді басқару мақсаттары үшін талаптарға сәйкестігін тексеру және (немесе) бақылау субъектісіне (объектісіне) бара отырып профилактикалық бақылауды жүргізу үшін тәуекел дәрежесін бағалау өлшемшарттары кезең-кезеңмен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22"/>
    <w:bookmarkStart w:name="z42" w:id="23"/>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bookmarkEnd w:id="23"/>
    <w:bookmarkStart w:name="z43" w:id="24"/>
    <w:p>
      <w:pPr>
        <w:spacing w:after="0"/>
        <w:ind w:left="0"/>
        <w:jc w:val="both"/>
      </w:pPr>
      <w:r>
        <w:rPr>
          <w:rFonts w:ascii="Times New Roman"/>
          <w:b w:val="false"/>
          <w:i w:val="false"/>
          <w:color w:val="000000"/>
          <w:sz w:val="28"/>
        </w:rPr>
        <w:t>
      1) жоғары тәуекел;</w:t>
      </w:r>
    </w:p>
    <w:bookmarkEnd w:id="24"/>
    <w:bookmarkStart w:name="z44" w:id="25"/>
    <w:p>
      <w:pPr>
        <w:spacing w:after="0"/>
        <w:ind w:left="0"/>
        <w:jc w:val="both"/>
      </w:pPr>
      <w:r>
        <w:rPr>
          <w:rFonts w:ascii="Times New Roman"/>
          <w:b w:val="false"/>
          <w:i w:val="false"/>
          <w:color w:val="000000"/>
          <w:sz w:val="28"/>
        </w:rPr>
        <w:t>
      2) орташа тәуекел;</w:t>
      </w:r>
    </w:p>
    <w:bookmarkEnd w:id="25"/>
    <w:bookmarkStart w:name="z45" w:id="26"/>
    <w:p>
      <w:pPr>
        <w:spacing w:after="0"/>
        <w:ind w:left="0"/>
        <w:jc w:val="both"/>
      </w:pPr>
      <w:r>
        <w:rPr>
          <w:rFonts w:ascii="Times New Roman"/>
          <w:b w:val="false"/>
          <w:i w:val="false"/>
          <w:color w:val="000000"/>
          <w:sz w:val="28"/>
        </w:rPr>
        <w:t>
      3) төмен тәуекел.</w:t>
      </w:r>
    </w:p>
    <w:bookmarkEnd w:id="26"/>
    <w:p>
      <w:pPr>
        <w:spacing w:after="0"/>
        <w:ind w:left="0"/>
        <w:jc w:val="both"/>
      </w:pPr>
      <w:r>
        <w:rPr>
          <w:rFonts w:ascii="Times New Roman"/>
          <w:b w:val="false"/>
          <w:i w:val="false"/>
          <w:color w:val="000000"/>
          <w:sz w:val="28"/>
        </w:rPr>
        <w:t>
      Тәуекелдің жоғары және орташа дәрежесіне жатқызылған бақылау субъектілеріне (объектілеріне) қатысты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46" w:id="27"/>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27"/>
    <w:bookmarkStart w:name="z47" w:id="28"/>
    <w:p>
      <w:pPr>
        <w:spacing w:after="0"/>
        <w:ind w:left="0"/>
        <w:jc w:val="both"/>
      </w:pPr>
      <w:r>
        <w:rPr>
          <w:rFonts w:ascii="Times New Roman"/>
          <w:b w:val="false"/>
          <w:i w:val="false"/>
          <w:color w:val="000000"/>
          <w:sz w:val="28"/>
        </w:rPr>
        <w:t>
      1) жоғары тәуекел;</w:t>
      </w:r>
    </w:p>
    <w:bookmarkEnd w:id="28"/>
    <w:bookmarkStart w:name="z48" w:id="29"/>
    <w:p>
      <w:pPr>
        <w:spacing w:after="0"/>
        <w:ind w:left="0"/>
        <w:jc w:val="both"/>
      </w:pPr>
      <w:r>
        <w:rPr>
          <w:rFonts w:ascii="Times New Roman"/>
          <w:b w:val="false"/>
          <w:i w:val="false"/>
          <w:color w:val="000000"/>
          <w:sz w:val="28"/>
        </w:rPr>
        <w:t>
      2) орташа тәуекел;</w:t>
      </w:r>
    </w:p>
    <w:bookmarkEnd w:id="29"/>
    <w:bookmarkStart w:name="z49" w:id="30"/>
    <w:p>
      <w:pPr>
        <w:spacing w:after="0"/>
        <w:ind w:left="0"/>
        <w:jc w:val="both"/>
      </w:pPr>
      <w:r>
        <w:rPr>
          <w:rFonts w:ascii="Times New Roman"/>
          <w:b w:val="false"/>
          <w:i w:val="false"/>
          <w:color w:val="000000"/>
          <w:sz w:val="28"/>
        </w:rPr>
        <w:t>
      3) төмен тәуекел.</w:t>
      </w:r>
    </w:p>
    <w:bookmarkEnd w:id="30"/>
    <w:bookmarkStart w:name="z50" w:id="3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1"/>
    <w:bookmarkStart w:name="z51"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52"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3"/>
    <w:bookmarkStart w:name="z53" w:id="3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4"/>
    <w:bookmarkStart w:name="z54" w:id="35"/>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5"/>
    <w:p>
      <w:pPr>
        <w:spacing w:after="0"/>
        <w:ind w:left="0"/>
        <w:jc w:val="both"/>
      </w:pPr>
      <w:r>
        <w:rPr>
          <w:rFonts w:ascii="Times New Roman"/>
          <w:b w:val="false"/>
          <w:i w:val="false"/>
          <w:color w:val="000000"/>
          <w:sz w:val="28"/>
        </w:rPr>
        <w:t xml:space="preserve">
      Асыл тұқымды мал шаруашылығы және балара шаруашылығы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Талаптарға сәйкестігіне тексеру жүргізу үшін асыл тұқымды мал шаруашылығы және балара шаруашылығы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55" w:id="36"/>
    <w:p>
      <w:pPr>
        <w:spacing w:after="0"/>
        <w:ind w:left="0"/>
        <w:jc w:val="both"/>
      </w:pPr>
      <w:r>
        <w:rPr>
          <w:rFonts w:ascii="Times New Roman"/>
          <w:b w:val="false"/>
          <w:i w:val="false"/>
          <w:color w:val="000000"/>
          <w:sz w:val="28"/>
        </w:rPr>
        <w:t>
      6. Бақылау субъектілерінің (объектілеріне)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6"/>
    <w:bookmarkStart w:name="z56" w:id="37"/>
    <w:p>
      <w:pPr>
        <w:spacing w:after="0"/>
        <w:ind w:left="0"/>
        <w:jc w:val="left"/>
      </w:pPr>
      <w:r>
        <w:rPr>
          <w:rFonts w:ascii="Times New Roman"/>
          <w:b/>
          <w:i w:val="false"/>
          <w:color w:val="000000"/>
        </w:rPr>
        <w:t xml:space="preserve"> 1-параграф. Объективті өлшемшарттар</w:t>
      </w:r>
    </w:p>
    <w:bookmarkEnd w:id="37"/>
    <w:bookmarkStart w:name="z57" w:id="38"/>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асыл тұқымдық және дистрибьютерлік орталықтар жатады.</w:t>
      </w:r>
    </w:p>
    <w:bookmarkEnd w:id="38"/>
    <w:bookmarkStart w:name="z58" w:id="39"/>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субъектілеріне (объектілеріне) асыл тұқымды мал шаруашылығын дамытуға бюджеттік субсидияларды алған жеке және заңды тұлғалар және республикалық палаталар жатады.</w:t>
      </w:r>
    </w:p>
    <w:bookmarkEnd w:id="39"/>
    <w:bookmarkStart w:name="z59" w:id="40"/>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бонитерлер (сыныптаушылар), техник-ұрықтандырушылар, эмбриондарды телу (ауыстырып салу) жөніндегі мамандар жатады.</w:t>
      </w:r>
    </w:p>
    <w:bookmarkEnd w:id="40"/>
    <w:bookmarkStart w:name="z60" w:id="41"/>
    <w:p>
      <w:pPr>
        <w:spacing w:after="0"/>
        <w:ind w:left="0"/>
        <w:jc w:val="left"/>
      </w:pPr>
      <w:r>
        <w:rPr>
          <w:rFonts w:ascii="Times New Roman"/>
          <w:b/>
          <w:i w:val="false"/>
          <w:color w:val="000000"/>
        </w:rPr>
        <w:t xml:space="preserve"> 2-параграф. Субъективті өлшемшарттар</w:t>
      </w:r>
    </w:p>
    <w:bookmarkEnd w:id="41"/>
    <w:bookmarkStart w:name="z61" w:id="42"/>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2"/>
    <w:bookmarkStart w:name="z62" w:id="43"/>
    <w:p>
      <w:pPr>
        <w:spacing w:after="0"/>
        <w:ind w:left="0"/>
        <w:jc w:val="both"/>
      </w:pPr>
      <w:r>
        <w:rPr>
          <w:rFonts w:ascii="Times New Roman"/>
          <w:b w:val="false"/>
          <w:i w:val="false"/>
          <w:color w:val="000000"/>
          <w:sz w:val="28"/>
        </w:rPr>
        <w:t>
      1) дерекқорды қалыптастыру және ақпарат жинау;</w:t>
      </w:r>
    </w:p>
    <w:bookmarkEnd w:id="43"/>
    <w:bookmarkStart w:name="z63" w:id="44"/>
    <w:p>
      <w:pPr>
        <w:spacing w:after="0"/>
        <w:ind w:left="0"/>
        <w:jc w:val="both"/>
      </w:pPr>
      <w:r>
        <w:rPr>
          <w:rFonts w:ascii="Times New Roman"/>
          <w:b w:val="false"/>
          <w:i w:val="false"/>
          <w:color w:val="000000"/>
          <w:sz w:val="28"/>
        </w:rPr>
        <w:t>
      2) ақпаратты талдау және тәуекелдерді бағалау.</w:t>
      </w:r>
    </w:p>
    <w:bookmarkEnd w:id="44"/>
    <w:bookmarkStart w:name="z64" w:id="45"/>
    <w:p>
      <w:pPr>
        <w:spacing w:after="0"/>
        <w:ind w:left="0"/>
        <w:jc w:val="both"/>
      </w:pPr>
      <w:r>
        <w:rPr>
          <w:rFonts w:ascii="Times New Roman"/>
          <w:b w:val="false"/>
          <w:i w:val="false"/>
          <w:color w:val="000000"/>
          <w:sz w:val="28"/>
        </w:rPr>
        <w:t>
      11. Бақылау субъектілерін (объектілерін) анықтау үшін деректер базасын қалыптастыру және ақпарат жинау қажет.</w:t>
      </w:r>
    </w:p>
    <w:bookmarkEnd w:id="45"/>
    <w:bookmarkStart w:name="z65" w:id="46"/>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субъектілеріне (объектілеріне) профилактикалық бақылау жүргізу үшін мынадай ақпарат көздері пайдаланылады:</w:t>
      </w:r>
    </w:p>
    <w:bookmarkEnd w:id="46"/>
    <w:bookmarkStart w:name="z66" w:id="47"/>
    <w:p>
      <w:pPr>
        <w:spacing w:after="0"/>
        <w:ind w:left="0"/>
        <w:jc w:val="both"/>
      </w:pPr>
      <w:r>
        <w:rPr>
          <w:rFonts w:ascii="Times New Roman"/>
          <w:b w:val="false"/>
          <w:i w:val="false"/>
          <w:color w:val="000000"/>
          <w:sz w:val="28"/>
        </w:rPr>
        <w:t>
      1) алдыңғы тексерулердің және бақылау субъектілеріне (объектілеріне) бара отырып жүргізілген профилактикалық бақылаудың нәтижелері;</w:t>
      </w:r>
    </w:p>
    <w:bookmarkEnd w:id="47"/>
    <w:bookmarkStart w:name="z67" w:id="48"/>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48"/>
    <w:bookmarkStart w:name="z68" w:id="49"/>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9"/>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 дәрежесін бағалауға бақылау субъектілеріне (объектілеріне) қатысты алдыңғы жүргізілген тексерулердің нәтижелері пайдаланылады.</w:t>
      </w:r>
    </w:p>
    <w:bookmarkStart w:name="z69" w:id="50"/>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50"/>
    <w:p>
      <w:pPr>
        <w:spacing w:after="0"/>
        <w:ind w:left="0"/>
        <w:jc w:val="both"/>
      </w:pPr>
      <w:r>
        <w:rPr>
          <w:rFonts w:ascii="Times New Roman"/>
          <w:b w:val="false"/>
          <w:i w:val="false"/>
          <w:color w:val="000000"/>
          <w:sz w:val="28"/>
        </w:rPr>
        <w:t>
      Субъективті өлшемшарттарды талдау және бағалау талаптарға сәйкестігіне тексеру жүргізуді және бақылау субъектісіне (объектісіне) қатысты барынша ықтимал тәуекелі бар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қосуға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Қолданылатын ақпарат көздерінің басымдылығын және субъективті өлшемшарттар көрсеткіштерінің маңыздылығын негізге ала отырып,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асыл тұқымды мал шаруашылығы және балара шаруашылығы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71" w:id="51"/>
    <w:p>
      <w:pPr>
        <w:spacing w:after="0"/>
        <w:ind w:left="0"/>
        <w:jc w:val="left"/>
      </w:pPr>
      <w:r>
        <w:rPr>
          <w:rFonts w:ascii="Times New Roman"/>
          <w:b/>
          <w:i w:val="false"/>
          <w:color w:val="000000"/>
        </w:rPr>
        <w:t xml:space="preserve"> 3-параграф. Тәуекелдерді басқару</w:t>
      </w:r>
    </w:p>
    <w:bookmarkEnd w:id="51"/>
    <w:p>
      <w:pPr>
        <w:spacing w:after="0"/>
        <w:ind w:left="0"/>
        <w:jc w:val="left"/>
      </w:pPr>
    </w:p>
    <w:p>
      <w:pPr>
        <w:spacing w:after="0"/>
        <w:ind w:left="0"/>
        <w:jc w:val="both"/>
      </w:pPr>
      <w:r>
        <w:rPr>
          <w:rFonts w:ascii="Times New Roman"/>
          <w:b w:val="false"/>
          <w:i w:val="false"/>
          <w:color w:val="000000"/>
          <w:sz w:val="28"/>
        </w:rPr>
        <w:t xml:space="preserve">
      14. Адал бақылау субъектілерін көтермелеу қағидатын іске асыру және бұзушыларға бақылауды шоғырландыру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айқындалатын кезеңге бақылау субъектісіне (объектісіне) бара отырып, профилактикалық бақылау және (немесе) талаптарға сәйкестігіне тексеру жүргізуден босатылады.</w:t>
      </w:r>
    </w:p>
    <w:bookmarkStart w:name="z73" w:id="52"/>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субъектісіне (объектісіне) бара отырып профилактикалық бақылаудан немесе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ақпараттық жүйені қолдана отырып, асыл тұқымды мал шаруашылығы және балара шаруашылығы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52"/>
    <w:bookmarkStart w:name="z74" w:id="53"/>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аспауы тиіс.</w:t>
      </w:r>
    </w:p>
    <w:bookmarkStart w:name="z75" w:id="5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4"/>
    <w:p>
      <w:pPr>
        <w:spacing w:after="0"/>
        <w:ind w:left="0"/>
        <w:jc w:val="left"/>
      </w:pPr>
    </w:p>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келесідей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bookmarkStart w:name="z77" w:id="55"/>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субъектілеріне (объектілеріне) бара отырып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55"/>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асыл тұқымды мал шаруашылығы және балара шаруашылығы саласындағы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8" w:id="56"/>
    <w:p>
      <w:pPr>
        <w:spacing w:after="0"/>
        <w:ind w:left="0"/>
        <w:jc w:val="both"/>
      </w:pPr>
      <w:r>
        <w:rPr>
          <w:rFonts w:ascii="Times New Roman"/>
          <w:b w:val="false"/>
          <w:i w:val="false"/>
          <w:color w:val="000000"/>
          <w:sz w:val="28"/>
        </w:rPr>
        <w:t>
      19. Алдыңғы тексерулер мен бақылау субъектісіне (объектісіне)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56"/>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бақылау субъектісіне (объектісіне) бара отырып профилактикалық бақылау немесе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0" w:id="57"/>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81" w:id="58"/>
    <w:p>
      <w:pPr>
        <w:spacing w:after="0"/>
        <w:ind w:left="0"/>
        <w:jc w:val="left"/>
      </w:pPr>
      <w:r>
        <w:rPr>
          <w:rFonts w:ascii="Times New Roman"/>
          <w:b/>
          <w:i w:val="false"/>
          <w:color w:val="000000"/>
        </w:rPr>
        <w:t xml:space="preserve"> 4-тарау. Қорытынды ережелер</w:t>
      </w:r>
    </w:p>
    <w:bookmarkEnd w:id="58"/>
    <w:bookmarkStart w:name="z82" w:id="59"/>
    <w:p>
      <w:pPr>
        <w:spacing w:after="0"/>
        <w:ind w:left="0"/>
        <w:jc w:val="both"/>
      </w:pPr>
      <w:r>
        <w:rPr>
          <w:rFonts w:ascii="Times New Roman"/>
          <w:b w:val="false"/>
          <w:i w:val="false"/>
          <w:color w:val="000000"/>
          <w:sz w:val="28"/>
        </w:rPr>
        <w:t>
      22. Тәуекелдің жоғары дәрежесіне жатқызылған бақылау субъектілеріне (объектілеріне) талаптарға сәйкестігіне тексеру жүргізудің жиілігі жылына ең көбі бір рет болып айқындалады.</w:t>
      </w:r>
    </w:p>
    <w:bookmarkEnd w:id="59"/>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талаптарға сәйкестігіне тексерулер жүргізудің жиілігі ең көбі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талаптарға сәйкестігіне тексерулер жүргізудің жиілігі ең көбі үш жылда бір рет болып айқындалады.</w:t>
      </w:r>
    </w:p>
    <w:bookmarkStart w:name="z83" w:id="60"/>
    <w:p>
      <w:pPr>
        <w:spacing w:after="0"/>
        <w:ind w:left="0"/>
        <w:jc w:val="both"/>
      </w:pPr>
      <w:r>
        <w:rPr>
          <w:rFonts w:ascii="Times New Roman"/>
          <w:b w:val="false"/>
          <w:i w:val="false"/>
          <w:color w:val="000000"/>
          <w:sz w:val="28"/>
        </w:rPr>
        <w:t>
      23.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 болмау керек.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Талаптарға сәйкестігін тексерулер Кодекстің 144-бабы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талаптарға сәйкестігін тексеру графигінің негізінде жүргізіледі.</w:t>
      </w:r>
    </w:p>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6" w:id="61"/>
    <w:p>
      <w:pPr>
        <w:spacing w:after="0"/>
        <w:ind w:left="0"/>
        <w:jc w:val="left"/>
      </w:pPr>
      <w:r>
        <w:rPr>
          <w:rFonts w:ascii="Times New Roman"/>
          <w:b/>
          <w:i w:val="false"/>
          <w:color w:val="000000"/>
        </w:rPr>
        <w:t xml:space="preserve"> Асыл тұқымды мал шаруашылығы және балара шаруашылығы саласындағы талаптардың бұзылу дәрежесі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АТОЕ-2 нысан, жыл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жануарлардан алынған ұрықтар мен эмбриондарды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бюджеттік субсидияларды алған жеке және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Бонитирлеуден (бағалаудан) өтпеген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асыл тұқымды жануарлар басының тұқымдық және сыныптық құрамы туралы деректердің асыл тұқымды жануарлар тізіліміне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малдан алынған ұрықтар мен эмбриондарды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 деректерінің асыл тұқымды мал шаруашылығы саласындағы уәкілетті органға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асыл тұқымды кітапқа енгізілген асыл тұқымды жануарлар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жануардың мәртебесін беруді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тізілімінде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 жыл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8" w:id="62"/>
    <w:p>
      <w:pPr>
        <w:spacing w:after="0"/>
        <w:ind w:left="0"/>
        <w:jc w:val="left"/>
      </w:pPr>
      <w:r>
        <w:rPr>
          <w:rFonts w:ascii="Times New Roman"/>
          <w:b/>
          <w:i w:val="false"/>
          <w:color w:val="000000"/>
        </w:rPr>
        <w:t xml:space="preserve"> Талаптарға сәйкестігіне тексеру жүргізу үшін асыл тұқымды мал шаруашылығы және балара шаруашылығы саласындағы талаптардың бұзылу дәрежесі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Бонитерлер (сыныптаушылар)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тиісті түрі бойынша бонитерлердің (сыныптаушылардың) оқыту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маманның оқу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және технологиялық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бонитирлеудің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63"/>
    <w:p>
      <w:pPr>
        <w:spacing w:after="0"/>
        <w:ind w:left="0"/>
        <w:jc w:val="left"/>
      </w:pPr>
      <w:r>
        <w:rPr>
          <w:rFonts w:ascii="Times New Roman"/>
          <w:b/>
          <w:i w:val="false"/>
          <w:color w:val="000000"/>
        </w:rPr>
        <w:t xml:space="preserve"> Асыл тұқымды мал шаруашылығы және балара шаруашылығы саласындағы субъективті өлшемшарттар бойынша тәуекел дәрежесін айқындауға арналған субъективті өлшемшарттар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орталыққа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АТОЕ-2 нысан,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Дистрибьютерлік орталыққа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палаталарға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бюджеттік субсидиялар алған жеке және заңды тұлғаларға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асыл тұқымдық куәліктің және асыл тұқымды малдың ресімделген карточкаларының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бағалаудың жиынтық ведомосінің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2-қосымша</w:t>
            </w:r>
          </w:p>
        </w:tc>
      </w:tr>
    </w:tbl>
    <w:bookmarkStart w:name="z93" w:id="64"/>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тексеру парағы</w:t>
      </w:r>
    </w:p>
    <w:bookmarkEnd w:id="64"/>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АТОЕ-2 нысан,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жануарлардан алынған ұрықтар мен эмбриондарды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3-қосымша</w:t>
            </w:r>
          </w:p>
        </w:tc>
      </w:tr>
    </w:tbl>
    <w:bookmarkStart w:name="z96" w:id="65"/>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тексеру парағы</w:t>
      </w:r>
    </w:p>
    <w:bookmarkEnd w:id="65"/>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4-қосымша</w:t>
            </w:r>
          </w:p>
        </w:tc>
      </w:tr>
    </w:tbl>
    <w:bookmarkStart w:name="z99" w:id="66"/>
    <w:p>
      <w:pPr>
        <w:spacing w:after="0"/>
        <w:ind w:left="0"/>
        <w:jc w:val="left"/>
      </w:pPr>
      <w:r>
        <w:rPr>
          <w:rFonts w:ascii="Times New Roman"/>
          <w:b/>
          <w:i w:val="false"/>
          <w:color w:val="000000"/>
        </w:rPr>
        <w:t xml:space="preserve">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bookmarkEnd w:id="66"/>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тұқымдық және сыныптық құрамы туралы деректерді асыл тұқымды жануарлардың мемлекеттік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Бонитирлеуден (бағалаудан) өтпеген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малдан алынған ұрықтар мен эмбриондарды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5-қосымша</w:t>
            </w:r>
          </w:p>
        </w:tc>
      </w:tr>
    </w:tbl>
    <w:bookmarkStart w:name="z102" w:id="67"/>
    <w:p>
      <w:pPr>
        <w:spacing w:after="0"/>
        <w:ind w:left="0"/>
        <w:jc w:val="left"/>
      </w:pPr>
      <w:r>
        <w:rPr>
          <w:rFonts w:ascii="Times New Roman"/>
          <w:b/>
          <w:i w:val="false"/>
          <w:color w:val="000000"/>
        </w:rPr>
        <w:t xml:space="preserve"> Республикалық палаталарға арналған асыл тұқымды мал шаруашылығы және балара шаруашылығы саласындағы тексеру парағы</w:t>
      </w:r>
    </w:p>
    <w:bookmarkEnd w:id="67"/>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тізілімінде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асыл тұқымды жануарлар тізілімінің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тізілімінің болуы, ол туралы деректердің асыл тұқымды кітапқа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мал мәртебесін беруді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нысандары,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6-қосымша</w:t>
            </w:r>
          </w:p>
        </w:tc>
      </w:tr>
    </w:tbl>
    <w:bookmarkStart w:name="z105" w:id="68"/>
    <w:p>
      <w:pPr>
        <w:spacing w:after="0"/>
        <w:ind w:left="0"/>
        <w:jc w:val="left"/>
      </w:pPr>
      <w:r>
        <w:rPr>
          <w:rFonts w:ascii="Times New Roman"/>
          <w:b/>
          <w:i w:val="false"/>
          <w:color w:val="000000"/>
        </w:rPr>
        <w:t xml:space="preserve"> Бонитерлерге (сыныптаушыларға) арналған асыл тұқымды мал шаруашылығы және балара шаруашылығы саласындағы тексеру парағы </w:t>
      </w:r>
    </w:p>
    <w:bookmarkEnd w:id="68"/>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тиісті түрі бойынша бонитерлердің (жіктеуіштерді) оқыту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7-қосымша</w:t>
            </w:r>
          </w:p>
        </w:tc>
      </w:tr>
    </w:tbl>
    <w:bookmarkStart w:name="z108" w:id="69"/>
    <w:p>
      <w:pPr>
        <w:spacing w:after="0"/>
        <w:ind w:left="0"/>
        <w:jc w:val="left"/>
      </w:pPr>
      <w:r>
        <w:rPr>
          <w:rFonts w:ascii="Times New Roman"/>
          <w:b/>
          <w:i w:val="false"/>
          <w:color w:val="000000"/>
        </w:rPr>
        <w:t xml:space="preserve"> Техник-ұрықтандырушыларға арналған асыл тұқымды мал шаруашылығы және балара шаруашылығы саласындағы тексеру парағы </w:t>
      </w:r>
    </w:p>
    <w:bookmarkEnd w:id="69"/>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8-қосымша</w:t>
            </w:r>
          </w:p>
        </w:tc>
      </w:tr>
    </w:tbl>
    <w:bookmarkStart w:name="z111" w:id="70"/>
    <w:p>
      <w:pPr>
        <w:spacing w:after="0"/>
        <w:ind w:left="0"/>
        <w:jc w:val="left"/>
      </w:pPr>
      <w:r>
        <w:rPr>
          <w:rFonts w:ascii="Times New Roman"/>
          <w:b/>
          <w:i w:val="false"/>
          <w:color w:val="000000"/>
        </w:rPr>
        <w:t xml:space="preserve"> Эмбриондарды телу (ауыстырып салу) жөніндегі мамандарға арналған асыл тұқымды мал шаруашылығы және балара шаруашылығы саласындағы тексеру парағы </w:t>
      </w:r>
    </w:p>
    <w:bookmarkEnd w:id="70"/>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оқу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9 қосымша</w:t>
            </w:r>
          </w:p>
        </w:tc>
      </w:tr>
    </w:tbl>
    <w:bookmarkStart w:name="z114" w:id="71"/>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тексеру парағы</w:t>
      </w:r>
    </w:p>
    <w:bookmarkEnd w:id="71"/>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бағалаудың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139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261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10-қосымша</w:t>
            </w:r>
          </w:p>
        </w:tc>
      </w:tr>
    </w:tbl>
    <w:bookmarkStart w:name="z117" w:id="72"/>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тексеру парағы</w:t>
      </w:r>
    </w:p>
    <w:bookmarkEnd w:id="72"/>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