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4ba4" w14:textId="8934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бөлек жиындарын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23 маусымдағы № 122 бұйрығы. Қазақстан Республикасының Әділет министрлігінде 2023 жылғы 26 маусымда № 32894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қоғамдастықтың бөлек жиындарын өткізудің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Өңірлерді талдау және жергілікті өзін-өзі басқаруды дамыту департаменті заңнамада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Жергілікті қоғамдастықтың бөлек жиындарын өткізудің Үлгілік қағидалары</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 кент, ауылдық округ тұрғындарының жергілікті қоғамдастықтың бөлек жиындарын өткізудің үлгілік тәртібін белгілейді.</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2"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3"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4" w:id="12"/>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2"/>
    <w:bookmarkStart w:name="z15"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16" w:id="14"/>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7"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18"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 </w:t>
      </w:r>
    </w:p>
    <w:bookmarkEnd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9" w:id="17"/>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17"/>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20" w:id="18"/>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bookmarkEnd w:id="18"/>
    <w:bookmarkStart w:name="z21" w:id="1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9"/>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22" w:id="20"/>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0"/>
    <w:bookmarkStart w:name="z23" w:id="2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1"/>
    <w:bookmarkStart w:name="z24" w:id="22"/>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2"/>
    <w:bookmarkStart w:name="z25" w:id="23"/>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3"/>
    <w:bookmarkStart w:name="z26" w:id="24"/>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4"/>
    <w:bookmarkStart w:name="z27" w:id="25"/>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5"/>
    <w:bookmarkStart w:name="z28" w:id="26"/>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