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36a0" w14:textId="4193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міндетін атқарушының 2018 жылғы 25 мамырдағы № 392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15 маусымдағы № 447 бұйрығы. Қазақстан Республикасының Әділет министрлігінде 2023 жылғы 19 маусымда № 32838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қағидаларын бекіту туралы" Қазақстан Республикасы Инвестициялар және даму министрінің міндетін атқарушысының 2018 жылғы 25 мамырдағы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есепті ұсыну қағидалары (бұдан әрі – Қағидалар) "Жер қойнауы және жер қойнауын пайдалану туралы" Қазақстан Республикасы Кодексінің 215-бабының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бөлігіне, 236-бабының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272-бабының </w:t>
      </w:r>
      <w:r>
        <w:rPr>
          <w:rFonts w:ascii="Times New Roman"/>
          <w:b w:val="false"/>
          <w:i w:val="false"/>
          <w:color w:val="000000"/>
          <w:sz w:val="28"/>
        </w:rPr>
        <w:t>1-тармағына</w:t>
      </w: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744-бабына</w:t>
      </w:r>
      <w:r>
        <w:rPr>
          <w:rFonts w:ascii="Times New Roman"/>
          <w:b w:val="false"/>
          <w:i w:val="false"/>
          <w:color w:val="000000"/>
          <w:sz w:val="28"/>
        </w:rPr>
        <w:t xml:space="preserve"> сәйкес әзірленген және жер қойнауын пайдаланушылардың геологиялық есептерді және өндірілген пайдалы қатты қазбалар, кең таралған пайдалы қазбалар туралы есептерді, сондай-ақ өндірілген бағалы металдар мен асыл тастар туралы есептерді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Қағидаларда пайдаланылатын терминдер мен анықтамалар </w:t>
      </w:r>
      <w:r>
        <w:rPr>
          <w:rFonts w:ascii="Times New Roman"/>
          <w:b w:val="false"/>
          <w:i w:val="false"/>
          <w:color w:val="000000"/>
          <w:sz w:val="28"/>
        </w:rPr>
        <w:t>Кодексте</w:t>
      </w:r>
      <w:r>
        <w:rPr>
          <w:rFonts w:ascii="Times New Roman"/>
          <w:b w:val="false"/>
          <w:i w:val="false"/>
          <w:color w:val="000000"/>
          <w:sz w:val="28"/>
        </w:rPr>
        <w:t xml:space="preserve"> және Салық кодексінің 1-бабы 1-тармағының </w:t>
      </w:r>
      <w:r>
        <w:rPr>
          <w:rFonts w:ascii="Times New Roman"/>
          <w:b w:val="false"/>
          <w:i w:val="false"/>
          <w:color w:val="000000"/>
          <w:sz w:val="28"/>
        </w:rPr>
        <w:t>49) тармақшасында</w:t>
      </w:r>
      <w:r>
        <w:rPr>
          <w:rFonts w:ascii="Times New Roman"/>
          <w:b w:val="false"/>
          <w:i w:val="false"/>
          <w:color w:val="000000"/>
          <w:sz w:val="28"/>
        </w:rPr>
        <w:t xml:space="preserve"> айқындалған мағынасында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Пайдалы қазбалардың қорлары жөніндегі мемлекеттік комиссияның сыныптамасы бойынша қорлары бекітілген пайдалы қатты қазбаларды өндіруді жүзеге асыратын жер қойнауын пайдаланушылар жер қойнауын зерттеу жөніндегі уәкілетті органның тиісті аумақтық бөлімшесіне өндірілген пайдалы қатты қазбалар туралы есепті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xml:space="preserve">
      Геологиялық барлау жұмыстарының нәтижелері, минералдық ресурстар және минералдық қорлар туралы жария есептіліктің қазақстандық кодексінің (бұдан әрі - KAZRC Кодексі) стандарты бойынша пайдалы қатты қазбалардың бағаланған ресурстар мен қорлары кезінде пайдалы қатты қазбаларды өндіруді жүзеге асыратын жер қойнауын пайдаланушылар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өндірілген пайдалы қатты қазбалар туралы есепті жер қойнауын зерттеу жөніндегі уәкілетті органның тиісті аумақтық бөлімшесіне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Пайдалы қазбалардың қорлары жөніндегі мемлекеттік комиссияның сыныптамасы бойынша қорлары бекітілген кең таралған пайдалы қазбаларды өндіруді жүзеге асыратын жер қойнауын пайдаланушылар жер қойнауын зерттеу жөніндегі уәкілетті органның тиісті аумақтық бөлімшесіне өндірілген кең таралған пайдалы қазбалар туралы есепті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xml:space="preserve">
      KAZRC Кодексі стандарты бойынша бағаланған ресурстар мен қорлары кезінде кең таралған пайдалы қазбаларды өндіруді жүзеге асыратын жер қойнауын пайдаланушылар жер қойнауын зерттеу жөніндегі уәкілетті органның тиісті аумақтық бөлімшесіне өндірілген кең таралған пайдалы қазбалар туралы есепті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"Пайдалы қатты қазбаларды өндіру учаскесін барлауды (пайдалану барлауын) жүзеге асыратын жер қойнауын пайдаланушылар Кодекстің 90-бабының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 қойнауын зерттеу жөніндегі уәкілетті орган бекітетін нысан бойынша жер қойнауын зерттеу жөніндегі уәкілетті органның тиісті аумақтық бөлімшесіне геологиялық есептерді ұсынады."</w:t>
      </w:r>
    </w:p>
    <w:bookmarkStart w:name="z14"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Геология комитеті Қазақстан Республикасының заңнамасында белгіленген тәртіппен:</w:t>
      </w:r>
    </w:p>
    <w:bookmarkEnd w:id="1"/>
    <w:bookmarkStart w:name="z1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6"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1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18" w:id="5"/>
    <w:p>
      <w:pPr>
        <w:spacing w:after="0"/>
        <w:ind w:left="0"/>
        <w:jc w:val="both"/>
      </w:pPr>
      <w:r>
        <w:rPr>
          <w:rFonts w:ascii="Times New Roman"/>
          <w:b w:val="false"/>
          <w:i w:val="false"/>
          <w:color w:val="000000"/>
          <w:sz w:val="28"/>
        </w:rPr>
        <w:t>
      4. Осы бұйрық 2024 жылғы 1 қаңтардан бастап қолданысқа енгізілетін осы бұйрықтың бесінші және алтыншы абзацтарын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