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d1eb" w14:textId="0ead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шығаруды және олардың айналысын жүзеге асыратын тұлғаларға қатысты қамтамасыз етілген цифрлық активтер саласындағы тексеру парағын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8 маусымдағы № 172/НҚ және Қазақстан Республикасы Ұлттық экономика министрінің 2023 жылғы 12 маусымдағы № 106 бірлескен бұйрығы. Қазақстан Республикасының Әділет министрлігінде 2023 жылғы 14 маусымда № 32792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қамтамасыз етілген цифрлық активтерді шығаруды және олардың айналысын жүзеге асыратын тұлғаларға қатысты қамтамасыз етілген цифрлық активтер саласындағы тексеру парағы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8"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172/НҚ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Қамтамасыз етілген цифрлық активтерді шығаруды және олардың айналысын жүзеге асыратын тұлғаларға қатысты қамтамасыз етілген цифрлық активтер саласындағы ТЕКСЕРУ ПАРАҒЫ</w:t>
      </w:r>
    </w:p>
    <w:bookmarkEnd w:id="6"/>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сәйкестендiру нөмiрi), бақылау субъектісінің (объектісінің)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r>
              <w:rPr>
                <w:rFonts w:ascii="Times New Roman"/>
                <w:b/>
                <w:i w:val="false"/>
                <w:color w:val="000000"/>
                <w:sz w:val="20"/>
              </w:rPr>
              <w:t xml:space="preserve">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оның айналысына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 туралы шешімнің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тізбесінде қамтамасыз етілген цифрлық активтерді сақтау және айырбастау жөніндегі цифрлық платформаның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сақтау және айырбастау жөніндегі цифрлық платформаға ақпараттық қауіпсіздік талаптарына сәйкестігін сынау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зияткерлік қызметтер мен активтерге куәландырылған құқыққа уәкілетті органдардың растайтын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зияткерлік құқықтарға уәкілетті органдардың растайтын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цифрлық активті есеп айырысу ақша бірлігі, заңды төлем құралы, қаржы құралы немесе қаржы активі ретінде пайдаланбау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 оны шығарған тұлға туралы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және (немесе) мүлікке құқықты ауыстыру туралы блокчейн желісінде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активтері бар криптографиялық технологиялармен операцияларды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 ______________________________ _____________ лауазымы қолы</w:t>
      </w:r>
    </w:p>
    <w:p>
      <w:pPr>
        <w:spacing w:after="0"/>
        <w:ind w:left="0"/>
        <w:jc w:val="both"/>
      </w:pPr>
      <w:r>
        <w:rPr>
          <w:rFonts w:ascii="Times New Roman"/>
          <w:b w:val="false"/>
          <w:i w:val="false"/>
          <w:color w:val="000000"/>
          <w:sz w:val="28"/>
        </w:rPr>
        <w:t>
      ____________________________________________________________________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 _________________________ _____________ лауазымы қолы</w:t>
      </w:r>
    </w:p>
    <w:p>
      <w:pPr>
        <w:spacing w:after="0"/>
        <w:ind w:left="0"/>
        <w:jc w:val="both"/>
      </w:pPr>
      <w:r>
        <w:rPr>
          <w:rFonts w:ascii="Times New Roman"/>
          <w:b w:val="false"/>
          <w:i w:val="false"/>
          <w:color w:val="000000"/>
          <w:sz w:val="28"/>
        </w:rPr>
        <w:t>
      ____________________________________________________________________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