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37a1" w14:textId="cc6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7 маусымдағы № 457 бұйрығы. Қазақстан Республикасының Әділет министрлігінде 2023 жылғы 9 маусымда № 32752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Шетелдіктер мен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мазмұндағы 39) тармақшамен толықтырылсын:</w:t>
      </w:r>
    </w:p>
    <w:bookmarkStart w:name="z5" w:id="3"/>
    <w:p>
      <w:pPr>
        <w:spacing w:after="0"/>
        <w:ind w:left="0"/>
        <w:jc w:val="both"/>
      </w:pPr>
      <w:r>
        <w:rPr>
          <w:rFonts w:ascii="Times New Roman"/>
          <w:b w:val="false"/>
          <w:i w:val="false"/>
          <w:color w:val="000000"/>
          <w:sz w:val="28"/>
        </w:rPr>
        <w:t>
      "2. Осы Қағидаларда мынадай ұғымдар қолданылады:</w:t>
      </w:r>
    </w:p>
    <w:bookmarkEnd w:id="3"/>
    <w:bookmarkStart w:name="z6" w:id="4"/>
    <w:p>
      <w:pPr>
        <w:spacing w:after="0"/>
        <w:ind w:left="0"/>
        <w:jc w:val="both"/>
      </w:pPr>
      <w:r>
        <w:rPr>
          <w:rFonts w:ascii="Times New Roman"/>
          <w:b w:val="false"/>
          <w:i w:val="false"/>
          <w:color w:val="000000"/>
          <w:sz w:val="28"/>
        </w:rPr>
        <w:t>
      39) босқын - нәсілдік, ұлттық, діни сенімі, азаматтық белгісі, белгілі бір әлеуметтік топқа жататындығы немесе саяси нанымы бойынша қудалаудың құрбаны болу қаупінің негізділігіне орай өзі азаматы болып табылатын елден тыс жерде жүрген және өз елінің қорғауын пайдалана алмайтын немесе осындай қауіп салдарынан мұндай қорғауды пайдаланғысы келмейтін шетелдік немесе осындай қауіп салдарынан еліне қайтып орала алмайтын немесе қайтып оралғысы келмейтін, өзі тұрақты тұратын немесе өзі азаматы болып табылатын елден тыс жерде жүрген азаматтығы жоқ адам;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3-қосымшасының</w:t>
      </w:r>
      <w:r>
        <w:rPr>
          <w:rFonts w:ascii="Times New Roman"/>
          <w:b w:val="false"/>
          <w:i w:val="false"/>
          <w:color w:val="000000"/>
          <w:sz w:val="28"/>
        </w:rPr>
        <w:t xml:space="preserve"> 8 және 9 реттік нөмірінің 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(балалары және сот әрекетке қабілетсіз деп таныған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2) көрсетілетін қызметті алушының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xml:space="preserve">
3)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өзінің төлем қабілеттілігін растау туралы не Заңның 49-бабы </w:t>
            </w:r>
            <w:r>
              <w:rPr>
                <w:rFonts w:ascii="Times New Roman"/>
                <w:b w:val="false"/>
                <w:i w:val="false"/>
                <w:color w:val="000000"/>
                <w:sz w:val="20"/>
              </w:rPr>
              <w:t>4) тармақшасына</w:t>
            </w:r>
            <w:r>
              <w:rPr>
                <w:rFonts w:ascii="Times New Roman"/>
                <w:b w:val="false"/>
                <w:i w:val="false"/>
                <w:color w:val="000000"/>
                <w:sz w:val="20"/>
              </w:rPr>
              <w:t xml:space="preserve"> сәйкес төлем қабілеттілігін растаудан босатуға арналған негіздердің болуын куәландыратын құжат;</w:t>
            </w:r>
          </w:p>
          <w:p>
            <w:pPr>
              <w:spacing w:after="20"/>
              <w:ind w:left="20"/>
              <w:jc w:val="both"/>
            </w:pPr>
            <w:r>
              <w:rPr>
                <w:rFonts w:ascii="Times New Roman"/>
                <w:b w:val="false"/>
                <w:i w:val="false"/>
                <w:color w:val="000000"/>
                <w:sz w:val="20"/>
              </w:rPr>
              <w:t>
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6)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6) өтініш берушіге тұруға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 нотариалды куәландырылған өтініш.</w:t>
            </w:r>
          </w:p>
          <w:p>
            <w:pPr>
              <w:spacing w:after="20"/>
              <w:ind w:left="20"/>
              <w:jc w:val="both"/>
            </w:pPr>
            <w:r>
              <w:rPr>
                <w:rFonts w:ascii="Times New Roman"/>
                <w:b w:val="false"/>
                <w:i w:val="false"/>
                <w:color w:val="000000"/>
                <w:sz w:val="20"/>
              </w:rPr>
              <w:t>
Адамдар төлем жасау қабілетін растау ретінде өтініш беруші тұруға ниет бiлдiрген елдi мекеннен бiр отбасы мүшесiне есептегенде 15 шаршы метрлі тұрғын үй сатып алуға жеткiлiктi сомада банктiк шотта (шоттарда) ақшасының болуы туралы Қазақстан Республикасының резидентi-банктiң анықтамасын ұсынған жағдайларда олар тұруға тұрғын үй ұсыну және тұрақты тіркеу есебіне кемінде күнтізбелік 180 күн қою туралы жеке және заңды тұлғаның нотариалды куәландырылған өтінішін ұсынады.;</w:t>
            </w:r>
          </w:p>
          <w:p>
            <w:pPr>
              <w:spacing w:after="20"/>
              <w:ind w:left="20"/>
              <w:jc w:val="both"/>
            </w:pPr>
            <w:r>
              <w:rPr>
                <w:rFonts w:ascii="Times New Roman"/>
                <w:b w:val="false"/>
                <w:i w:val="false"/>
                <w:color w:val="000000"/>
                <w:sz w:val="20"/>
              </w:rPr>
              <w:t xml:space="preserve">
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сырқаттардың бар-жоғы туралы шетелдіктің медициналық куәландыру туралы анықтамасы (028/у медицинская анықтама);</w:t>
            </w:r>
          </w:p>
          <w:p>
            <w:pPr>
              <w:spacing w:after="20"/>
              <w:ind w:left="20"/>
              <w:jc w:val="both"/>
            </w:pPr>
            <w:r>
              <w:rPr>
                <w:rFonts w:ascii="Times New Roman"/>
                <w:b w:val="false"/>
                <w:i w:val="false"/>
                <w:color w:val="000000"/>
                <w:sz w:val="20"/>
              </w:rPr>
              <w:t>
8) мөлшері 35х45 мм бір фотосурет;</w:t>
            </w:r>
          </w:p>
          <w:p>
            <w:pPr>
              <w:spacing w:after="20"/>
              <w:ind w:left="20"/>
              <w:jc w:val="both"/>
            </w:pPr>
            <w:r>
              <w:rPr>
                <w:rFonts w:ascii="Times New Roman"/>
                <w:b w:val="false"/>
                <w:i w:val="false"/>
                <w:color w:val="000000"/>
                <w:sz w:val="20"/>
              </w:rPr>
              <w:t>
9) мемлекеттік бажды төлеу туралы құжат.</w:t>
            </w:r>
          </w:p>
          <w:p>
            <w:pPr>
              <w:spacing w:after="20"/>
              <w:ind w:left="20"/>
              <w:jc w:val="both"/>
            </w:pPr>
            <w:r>
              <w:rPr>
                <w:rFonts w:ascii="Times New Roman"/>
                <w:b w:val="false"/>
                <w:i w:val="false"/>
                <w:color w:val="000000"/>
                <w:sz w:val="20"/>
              </w:rPr>
              <w:t xml:space="preserve">
10) сұранысқа ие кәсіптер тізбесінің талаптарына жауап беретін, оларға қатысты Қазақстан Республикасы Еңбек және халықты әлеуметтік қорғау министрінің 2023 жылғы 20 ақпандағы № 49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қолдаухатын.</w:t>
            </w:r>
          </w:p>
          <w:p>
            <w:pPr>
              <w:spacing w:after="20"/>
              <w:ind w:left="20"/>
              <w:jc w:val="both"/>
            </w:pPr>
            <w:r>
              <w:rPr>
                <w:rFonts w:ascii="Times New Roman"/>
                <w:b w:val="false"/>
                <w:i w:val="false"/>
                <w:color w:val="000000"/>
                <w:sz w:val="20"/>
              </w:rPr>
              <w:t>
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Өзге мемлекеттің азаматтығын, Қазақстан Республикасында орналасқан дипломатиялық өкілдік және консулдық мекеме арқылы ресімдеген және Қазақстан Республикасының аумағында тұрақты тіркеуі бар көрсетілетін қызметті алушы 1), 2), 4), 8), 9) тармақшаларында көрсетілген құжаттарды ұсынады.</w:t>
            </w:r>
          </w:p>
          <w:p>
            <w:pPr>
              <w:spacing w:after="20"/>
              <w:ind w:left="20"/>
              <w:jc w:val="both"/>
            </w:pPr>
            <w:r>
              <w:rPr>
                <w:rFonts w:ascii="Times New Roman"/>
                <w:b w:val="false"/>
                <w:i w:val="false"/>
                <w:color w:val="000000"/>
                <w:sz w:val="20"/>
              </w:rPr>
              <w:t>
Ата-анасының бірімен келген жасы он сегізге толмаған көрсетілетін қызметті алушы, егер оның заңды өкілі (ата-анасы, қамқоршысы, жанашыры) Қазақстан Республикасының азаматы немесе шетел азаматы, азаматтығы жоқ адам Қазақстан Республикасы аумағында тұрақты тұратын болып табылған жағдайда 1), 2), 6), 8), 9) тармақшаларында көрсетілген құжаттарды, сондай-ақ он алты жасқа толмаған баланың жеке басын куәландыратын баланың туу туралы куәлігі немесе басқа құжаттың көшірмесі және түпнұсқасы (салыстыра тексеру үшін); Қазақстан Республикасынан тыс жерде тұратын екінші ата-анасынан нотариалдық расталған өтініш-келісім ұсынады.</w:t>
            </w:r>
          </w:p>
          <w:p>
            <w:pPr>
              <w:spacing w:after="20"/>
              <w:ind w:left="20"/>
              <w:jc w:val="both"/>
            </w:pPr>
            <w:r>
              <w:rPr>
                <w:rFonts w:ascii="Times New Roman"/>
                <w:b w:val="false"/>
                <w:i w:val="false"/>
                <w:color w:val="000000"/>
                <w:sz w:val="20"/>
              </w:rPr>
              <w:t xml:space="preserve">
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xml:space="preserve">
Егер өзгеше Қазақстан Республикасы заңнамаларымен немесе Қазақстан Республикасы ратификациялаған халықаралық шарттармен көзделмесе, шетел мемлекеті өкілеттерінің қатысуымен немесе сол өкімет тарапынан шыққан құжаттар мен актілер "Қазақстан Республикасы Елшілік жарғысын бекіту туралы" Қазақстан Республикасы Президентінің 2016 жылғы 25 сәуірдегі № 240 </w:t>
            </w:r>
            <w:r>
              <w:rPr>
                <w:rFonts w:ascii="Times New Roman"/>
                <w:b w:val="false"/>
                <w:i w:val="false"/>
                <w:color w:val="000000"/>
                <w:sz w:val="20"/>
              </w:rPr>
              <w:t>Жарлығының</w:t>
            </w:r>
            <w:r>
              <w:rPr>
                <w:rFonts w:ascii="Times New Roman"/>
                <w:b w:val="false"/>
                <w:i w:val="false"/>
                <w:color w:val="000000"/>
                <w:sz w:val="20"/>
              </w:rPr>
              <w:t xml:space="preserve"> 60-тармағына сәйкес заңдастырылған кезде қаралуға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49 - 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xml:space="preserve">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қоспағанда, тізбесін халықтың көші-қоны мәселелері жөніндегі уәкілетті орган бекітетін сұранысқа ие кәсіптері бар шетелдіктерді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туралы құжат;</w:t>
            </w:r>
          </w:p>
          <w:p>
            <w:pPr>
              <w:spacing w:after="20"/>
              <w:ind w:left="20"/>
              <w:jc w:val="both"/>
            </w:pPr>
            <w:r>
              <w:rPr>
                <w:rFonts w:ascii="Times New Roman"/>
                <w:b w:val="false"/>
                <w:i w:val="false"/>
                <w:color w:val="000000"/>
                <w:sz w:val="20"/>
              </w:rPr>
              <w:t>
5)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6) ұлтаралық, конфессияаралық және діни араздықты қоздыртқан;</w:t>
            </w:r>
          </w:p>
          <w:p>
            <w:pPr>
              <w:spacing w:after="20"/>
              <w:ind w:left="20"/>
              <w:jc w:val="both"/>
            </w:pPr>
            <w:r>
              <w:rPr>
                <w:rFonts w:ascii="Times New Roman"/>
                <w:b w:val="false"/>
                <w:i w:val="false"/>
                <w:color w:val="000000"/>
                <w:sz w:val="20"/>
              </w:rPr>
              <w:t>
7)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8)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9)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10) ұлттық қауіпсіздік органдарында олардың экстремизмге немесе террористік іс-әрекетке қатыстылығы туралы мәліметтер болған кезде;</w:t>
            </w:r>
          </w:p>
          <w:p>
            <w:pPr>
              <w:spacing w:after="20"/>
              <w:ind w:left="20"/>
              <w:jc w:val="both"/>
            </w:pPr>
            <w:r>
              <w:rPr>
                <w:rFonts w:ascii="Times New Roman"/>
                <w:b w:val="false"/>
                <w:i w:val="false"/>
                <w:color w:val="000000"/>
                <w:sz w:val="20"/>
              </w:rPr>
              <w:t>
11)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12)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дәлелді себепсіз ұсынбаған;</w:t>
            </w:r>
          </w:p>
          <w:p>
            <w:pPr>
              <w:spacing w:after="20"/>
              <w:ind w:left="20"/>
              <w:jc w:val="both"/>
            </w:pPr>
            <w:r>
              <w:rPr>
                <w:rFonts w:ascii="Times New Roman"/>
                <w:b w:val="false"/>
                <w:i w:val="false"/>
                <w:color w:val="000000"/>
                <w:sz w:val="20"/>
              </w:rPr>
              <w:t>
13)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14)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15)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жатқандар;</w:t>
            </w:r>
          </w:p>
          <w:p>
            <w:pPr>
              <w:spacing w:after="20"/>
              <w:ind w:left="20"/>
              <w:jc w:val="both"/>
            </w:pPr>
            <w:r>
              <w:rPr>
                <w:rFonts w:ascii="Times New Roman"/>
                <w:b w:val="false"/>
                <w:i w:val="false"/>
                <w:color w:val="000000"/>
                <w:sz w:val="20"/>
              </w:rPr>
              <w:t>
16)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pPr>
              <w:spacing w:after="20"/>
              <w:ind w:left="20"/>
              <w:jc w:val="both"/>
            </w:pPr>
            <w:r>
              <w:rPr>
                <w:rFonts w:ascii="Times New Roman"/>
                <w:b w:val="false"/>
                <w:i w:val="false"/>
                <w:color w:val="000000"/>
                <w:sz w:val="20"/>
              </w:rPr>
              <w:t>
18) ұлттық қауіпсіздік мүдделеріне қатер төндіретін;</w:t>
            </w:r>
          </w:p>
          <w:p>
            <w:pPr>
              <w:spacing w:after="20"/>
              <w:ind w:left="20"/>
              <w:jc w:val="both"/>
            </w:pPr>
            <w:r>
              <w:rPr>
                <w:rFonts w:ascii="Times New Roman"/>
                <w:b w:val="false"/>
                <w:i w:val="false"/>
                <w:color w:val="000000"/>
                <w:sz w:val="20"/>
              </w:rPr>
              <w:t>
19)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xml:space="preserve">
20)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21)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14) және 16) тармақшалары қолданылмайды</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