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b060" w14:textId="526b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Ағаш материалдарының жекелеген түрлерін әкетуді реттеудің кейбір мәселелері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7 маусымдағы № 419 бұйрығы. Қазақстан Республикасының Әділет министрлігінде 2023 жылғы 8 маусымда № 32736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10.06.2023 бастап қолданысқа енгізіледі.</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2014 жылғы 29 мамырдағы Еуразиялық экономикалық одақ туралы шарттың 29 және 47-бабтарына, сондай-ақ көрсетілген шартқа 7-қосымшаның 10-бөліміне сәйкес БҰЙЫРАМЫН:</w:t>
      </w:r>
    </w:p>
    <w:bookmarkEnd w:id="0"/>
    <w:bookmarkStart w:name="z2" w:id="1"/>
    <w:p>
      <w:pPr>
        <w:spacing w:after="0"/>
        <w:ind w:left="0"/>
        <w:jc w:val="both"/>
      </w:pPr>
      <w:r>
        <w:rPr>
          <w:rFonts w:ascii="Times New Roman"/>
          <w:b w:val="false"/>
          <w:i w:val="false"/>
          <w:color w:val="000000"/>
          <w:sz w:val="28"/>
        </w:rPr>
        <w:t>
      1. ЕАЭО СЭҚ ТН 4406910000 "Сіңірілген теміржол немесе трамвай жолдарына арналған қылқан жапырақты тұқымдардан жасалған ағаш шпалдар" кодын және шыққан елі Қазақстан Республикасы болып табылатын ЕАЭО СЭҚ ТН 4401310000 "Ағаш түйіршектері" кодын қоспағанда, шығарылған еліне қарамастан, Қазақстан Республикасының аумағынан ағаш материалдарының жекелеген түрлерін (Еуразиялық экономикалық одақтың Сыртқы экономикалық қызметінің тауар номенклатурасының коды 4401, 4403, 4404, 4406 және 4407) әкетуге алты ай мерзімге тыйым салу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29.08.2023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Индустриялық даму комитеті:</w:t>
      </w:r>
    </w:p>
    <w:bookmarkEnd w:id="2"/>
    <w:bookmarkStart w:name="z4" w:id="3"/>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қызметімен өзара іс-қимыл жасау кезінде осы бұйрықтың 1-тармағын орындау бойынша бақылауды қамтамасыз ету туралы Қазақстан Республикасы Қаржы министрлігінің Мемлекеттік кірістер комитетін;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осы бұйрықтың </w:t>
      </w:r>
      <w:r>
        <w:rPr>
          <w:rFonts w:ascii="Times New Roman"/>
          <w:b w:val="false"/>
          <w:i w:val="false"/>
          <w:color w:val="000000"/>
          <w:sz w:val="28"/>
        </w:rPr>
        <w:t>1-тармағын</w:t>
      </w:r>
      <w:r>
        <w:rPr>
          <w:rFonts w:ascii="Times New Roman"/>
          <w:b w:val="false"/>
          <w:i w:val="false"/>
          <w:color w:val="000000"/>
          <w:sz w:val="28"/>
        </w:rPr>
        <w:t xml:space="preserve"> іске асыру бойынша шаралар қолдану туралы "Қазақстан темір жолы" Ұлттық компаниясы" (келісім бойынша) акционерлік қоғамын;</w:t>
      </w:r>
    </w:p>
    <w:bookmarkEnd w:id="4"/>
    <w:bookmarkStart w:name="z6" w:id="5"/>
    <w:p>
      <w:pPr>
        <w:spacing w:after="0"/>
        <w:ind w:left="0"/>
        <w:jc w:val="both"/>
      </w:pPr>
      <w:r>
        <w:rPr>
          <w:rFonts w:ascii="Times New Roman"/>
          <w:b w:val="false"/>
          <w:i w:val="false"/>
          <w:color w:val="000000"/>
          <w:sz w:val="28"/>
        </w:rPr>
        <w:t xml:space="preserve">
      3) Қазақстан Республикасы Сауда және интеграция министрлігін белгіленген тәртіппен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салудың енгізілгені туралы Еуразиялық экономикалық комиссияны ақпараттандыруды қажеттілігі туралы хабардар етсін.</w:t>
      </w:r>
    </w:p>
    <w:bookmarkEnd w:id="5"/>
    <w:bookmarkStart w:name="z7" w:id="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 Индустриялық даму комитеті заңнамада белгіленген тәртіппен мыналарды:</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2023 жылғы 10 маусымнан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