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bf98" w14:textId="394b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5 маусымдағы № 606 және Қазақстан Республикасы Ұлттық экономика министрінің 2023 жылғы 5 маусымдағы № 99 бірлескен бұйрығы. Қазақстан Республикасының Әділет министрлігінде 2023 жылғы 6 маусымда № 32707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
    <w:bookmarkStart w:name="z7"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4"/>
    <w:bookmarkStart w:name="z8" w:id="5"/>
    <w:p>
      <w:pPr>
        <w:spacing w:after="0"/>
        <w:ind w:left="0"/>
        <w:jc w:val="both"/>
      </w:pPr>
      <w:r>
        <w:rPr>
          <w:rFonts w:ascii="Times New Roman"/>
          <w:b w:val="false"/>
          <w:i w:val="false"/>
          <w:color w:val="000000"/>
          <w:sz w:val="28"/>
        </w:rPr>
        <w:t>
      4. Осы бірлескен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xml:space="preserve">№ 99 мен Қазақстан </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606 бірлескен</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аудиторлық қызметті жүзеге асыратын бақылау субъектілерін тәуекел дәрежесіне жатқызу үшін әзірленді.</w:t>
      </w:r>
    </w:p>
    <w:bookmarkStart w:name="z14" w:id="8"/>
    <w:p>
      <w:pPr>
        <w:spacing w:after="0"/>
        <w:ind w:left="0"/>
        <w:jc w:val="both"/>
      </w:pPr>
      <w:r>
        <w:rPr>
          <w:rFonts w:ascii="Times New Roman"/>
          <w:b w:val="false"/>
          <w:i w:val="false"/>
          <w:color w:val="000000"/>
          <w:sz w:val="28"/>
        </w:rPr>
        <w:t>
      2. Осы Өлшемдерде мынадай ұғымдар пайдаланылады:</w:t>
      </w:r>
    </w:p>
    <w:bookmarkEnd w:id="8"/>
    <w:bookmarkStart w:name="z15" w:id="9"/>
    <w:p>
      <w:pPr>
        <w:spacing w:after="0"/>
        <w:ind w:left="0"/>
        <w:jc w:val="both"/>
      </w:pPr>
      <w:r>
        <w:rPr>
          <w:rFonts w:ascii="Times New Roman"/>
          <w:b w:val="false"/>
          <w:i w:val="false"/>
          <w:color w:val="000000"/>
          <w:sz w:val="28"/>
        </w:rPr>
        <w:t>
      1) балл – тәуекелді есептеудің сандық өлшемі;</w:t>
      </w:r>
    </w:p>
    <w:bookmarkEnd w:id="9"/>
    <w:bookmarkStart w:name="z16" w:id="10"/>
    <w:p>
      <w:pPr>
        <w:spacing w:after="0"/>
        <w:ind w:left="0"/>
        <w:jc w:val="both"/>
      </w:pPr>
      <w:r>
        <w:rPr>
          <w:rFonts w:ascii="Times New Roman"/>
          <w:b w:val="false"/>
          <w:i w:val="false"/>
          <w:color w:val="000000"/>
          <w:sz w:val="28"/>
        </w:rPr>
        <w:t>
      2) бақылау субъекті (объекті) – аккредиттелген кәсiби аудиторлық ұйымдар мен аудиторлық ұйымдар;</w:t>
      </w:r>
    </w:p>
    <w:bookmarkEnd w:id="10"/>
    <w:bookmarkStart w:name="z17" w:id="11"/>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18" w:id="12"/>
    <w:p>
      <w:pPr>
        <w:spacing w:after="0"/>
        <w:ind w:left="0"/>
        <w:jc w:val="both"/>
      </w:pPr>
      <w:r>
        <w:rPr>
          <w:rFonts w:ascii="Times New Roman"/>
          <w:b w:val="false"/>
          <w:i w:val="false"/>
          <w:color w:val="000000"/>
          <w:sz w:val="28"/>
        </w:rPr>
        <w:t>
      4)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w:t>
      </w:r>
    </w:p>
    <w:bookmarkEnd w:id="12"/>
    <w:bookmarkStart w:name="z19" w:id="13"/>
    <w:p>
      <w:pPr>
        <w:spacing w:after="0"/>
        <w:ind w:left="0"/>
        <w:jc w:val="both"/>
      </w:pPr>
      <w:r>
        <w:rPr>
          <w:rFonts w:ascii="Times New Roman"/>
          <w:b w:val="false"/>
          <w:i w:val="false"/>
          <w:color w:val="000000"/>
          <w:sz w:val="28"/>
        </w:rPr>
        <w:t>
      5) елеусіз бұзушылықтар –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жоймауы;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бұзушылықтар – мемлекеттің мүдделерін қозғайтын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 қолдануға әкеп соғатын Қазақстан Республикасы заңнамасының талаптарын бұзу;</w:t>
      </w:r>
    </w:p>
    <w:bookmarkStart w:name="z21" w:id="14"/>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2" w:id="15"/>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және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5"/>
    <w:bookmarkStart w:name="z23" w:id="16"/>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6"/>
    <w:bookmarkStart w:name="z24" w:id="17"/>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7"/>
    <w:bookmarkStart w:name="z25" w:id="18"/>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8"/>
    <w:bookmarkStart w:name="z26" w:id="19"/>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8" w:id="2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0"/>
    <w:bookmarkStart w:name="z29" w:id="2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аудиторлық қызмет саласындағы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1"/>
    <w:bookmarkStart w:name="z30" w:id="22"/>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End w:id="22"/>
    <w:bookmarkStart w:name="z31" w:id="23"/>
    <w:p>
      <w:pPr>
        <w:spacing w:after="0"/>
        <w:ind w:left="0"/>
        <w:jc w:val="both"/>
      </w:pPr>
      <w:r>
        <w:rPr>
          <w:rFonts w:ascii="Times New Roman"/>
          <w:b w:val="false"/>
          <w:i w:val="false"/>
          <w:color w:val="000000"/>
          <w:sz w:val="28"/>
        </w:rPr>
        <w:t>
      1) жоғары тәуекел;</w:t>
      </w:r>
    </w:p>
    <w:bookmarkEnd w:id="23"/>
    <w:bookmarkStart w:name="z32" w:id="24"/>
    <w:p>
      <w:pPr>
        <w:spacing w:after="0"/>
        <w:ind w:left="0"/>
        <w:jc w:val="both"/>
      </w:pPr>
      <w:r>
        <w:rPr>
          <w:rFonts w:ascii="Times New Roman"/>
          <w:b w:val="false"/>
          <w:i w:val="false"/>
          <w:color w:val="000000"/>
          <w:sz w:val="28"/>
        </w:rPr>
        <w:t>
      2) орташа тәуекел.</w:t>
      </w:r>
    </w:p>
    <w:bookmarkEnd w:id="2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субъектілерге (объектілерге) қатысты талаптарға сәйкестігіне тексеру, бақылау субъектісіне (объектісіне) бару арқылы профилактикалық бақылау және жоспардан тыс тексеру жүргізіледі.</w:t>
      </w:r>
    </w:p>
    <w:bookmarkStart w:name="z33" w:id="25"/>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жатқызады:</w:t>
      </w:r>
    </w:p>
    <w:bookmarkEnd w:id="25"/>
    <w:bookmarkStart w:name="z34" w:id="26"/>
    <w:p>
      <w:pPr>
        <w:spacing w:after="0"/>
        <w:ind w:left="0"/>
        <w:jc w:val="both"/>
      </w:pPr>
      <w:r>
        <w:rPr>
          <w:rFonts w:ascii="Times New Roman"/>
          <w:b w:val="false"/>
          <w:i w:val="false"/>
          <w:color w:val="000000"/>
          <w:sz w:val="28"/>
        </w:rPr>
        <w:t>
      1) жоғары тәуекел;</w:t>
      </w:r>
    </w:p>
    <w:bookmarkEnd w:id="26"/>
    <w:bookmarkStart w:name="z35" w:id="27"/>
    <w:p>
      <w:pPr>
        <w:spacing w:after="0"/>
        <w:ind w:left="0"/>
        <w:jc w:val="both"/>
      </w:pPr>
      <w:r>
        <w:rPr>
          <w:rFonts w:ascii="Times New Roman"/>
          <w:b w:val="false"/>
          <w:i w:val="false"/>
          <w:color w:val="000000"/>
          <w:sz w:val="28"/>
        </w:rPr>
        <w:t>
      2) орташа тәуекел.</w:t>
      </w:r>
    </w:p>
    <w:bookmarkEnd w:id="27"/>
    <w:bookmarkStart w:name="z36" w:id="2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28"/>
    <w:bookmarkStart w:name="z37" w:id="2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9"/>
    <w:bookmarkStart w:name="z38" w:id="3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30"/>
    <w:bookmarkStart w:name="z39" w:id="31"/>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1"/>
    <w:bookmarkStart w:name="z40" w:id="32"/>
    <w:p>
      <w:pPr>
        <w:spacing w:after="0"/>
        <w:ind w:left="0"/>
        <w:jc w:val="both"/>
      </w:pPr>
      <w:r>
        <w:rPr>
          <w:rFonts w:ascii="Times New Roman"/>
          <w:b w:val="false"/>
          <w:i w:val="false"/>
          <w:color w:val="000000"/>
          <w:sz w:val="28"/>
        </w:rPr>
        <w:t>
      Осы Өлшемшарттардың 1 және 2-қосымшаларына сәйкес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32"/>
    <w:bookmarkStart w:name="z41" w:id="33"/>
    <w:p>
      <w:pPr>
        <w:spacing w:after="0"/>
        <w:ind w:left="0"/>
        <w:jc w:val="both"/>
      </w:pPr>
      <w:r>
        <w:rPr>
          <w:rFonts w:ascii="Times New Roman"/>
          <w:b w:val="false"/>
          <w:i w:val="false"/>
          <w:color w:val="000000"/>
          <w:sz w:val="28"/>
        </w:rPr>
        <w:t>
      5. Аудиторлық қызмет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3"/>
    <w:bookmarkStart w:name="z42" w:id="34"/>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4"/>
    <w:bookmarkStart w:name="z43" w:id="35"/>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35"/>
    <w:bookmarkStart w:name="z44" w:id="36"/>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6"/>
    <w:bookmarkStart w:name="z45" w:id="37"/>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мыналар жатады:</w:t>
      </w:r>
    </w:p>
    <w:bookmarkEnd w:id="37"/>
    <w:bookmarkStart w:name="z46" w:id="38"/>
    <w:p>
      <w:pPr>
        <w:spacing w:after="0"/>
        <w:ind w:left="0"/>
        <w:jc w:val="both"/>
      </w:pPr>
      <w:r>
        <w:rPr>
          <w:rFonts w:ascii="Times New Roman"/>
          <w:b w:val="false"/>
          <w:i w:val="false"/>
          <w:color w:val="000000"/>
          <w:sz w:val="28"/>
        </w:rPr>
        <w:t>
      1) міндетті аудит жүргізетін аудиторлық ұйымдар;</w:t>
      </w:r>
    </w:p>
    <w:bookmarkEnd w:id="38"/>
    <w:bookmarkStart w:name="z47" w:id="39"/>
    <w:p>
      <w:pPr>
        <w:spacing w:after="0"/>
        <w:ind w:left="0"/>
        <w:jc w:val="both"/>
      </w:pPr>
      <w:r>
        <w:rPr>
          <w:rFonts w:ascii="Times New Roman"/>
          <w:b w:val="false"/>
          <w:i w:val="false"/>
          <w:color w:val="000000"/>
          <w:sz w:val="28"/>
        </w:rPr>
        <w:t xml:space="preserve">
      2) міндетті аудит жүргізетін аудиторлық ұйымдар мүшелері болып табылатын кәсіби ұйымдар. </w:t>
      </w:r>
    </w:p>
    <w:bookmarkEnd w:id="39"/>
    <w:bookmarkStart w:name="z48" w:id="40"/>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мыналар жатады:</w:t>
      </w:r>
    </w:p>
    <w:bookmarkEnd w:id="40"/>
    <w:bookmarkStart w:name="z49" w:id="41"/>
    <w:p>
      <w:pPr>
        <w:spacing w:after="0"/>
        <w:ind w:left="0"/>
        <w:jc w:val="both"/>
      </w:pPr>
      <w:r>
        <w:rPr>
          <w:rFonts w:ascii="Times New Roman"/>
          <w:b w:val="false"/>
          <w:i w:val="false"/>
          <w:color w:val="000000"/>
          <w:sz w:val="28"/>
        </w:rPr>
        <w:t>
      1) міндетті аудит жүргізбейтін аудиторлық ұйымдар;</w:t>
      </w:r>
    </w:p>
    <w:bookmarkEnd w:id="41"/>
    <w:bookmarkStart w:name="z50" w:id="42"/>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End w:id="42"/>
    <w:bookmarkStart w:name="z51" w:id="43"/>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3"/>
    <w:bookmarkStart w:name="z52" w:id="44"/>
    <w:p>
      <w:pPr>
        <w:spacing w:after="0"/>
        <w:ind w:left="0"/>
        <w:jc w:val="both"/>
      </w:pPr>
      <w:r>
        <w:rPr>
          <w:rFonts w:ascii="Times New Roman"/>
          <w:b w:val="false"/>
          <w:i w:val="false"/>
          <w:color w:val="000000"/>
          <w:sz w:val="28"/>
        </w:rPr>
        <w:t>
      10. Субъективті өлшемшарттарды айқындау мынадай:</w:t>
      </w:r>
    </w:p>
    <w:bookmarkEnd w:id="44"/>
    <w:bookmarkStart w:name="z53" w:id="45"/>
    <w:p>
      <w:pPr>
        <w:spacing w:after="0"/>
        <w:ind w:left="0"/>
        <w:jc w:val="both"/>
      </w:pPr>
      <w:r>
        <w:rPr>
          <w:rFonts w:ascii="Times New Roman"/>
          <w:b w:val="false"/>
          <w:i w:val="false"/>
          <w:color w:val="000000"/>
          <w:sz w:val="28"/>
        </w:rPr>
        <w:t>
      1) деректер базасын қалыптастыру және ақпарат жинау;</w:t>
      </w:r>
    </w:p>
    <w:bookmarkEnd w:id="45"/>
    <w:bookmarkStart w:name="z54" w:id="46"/>
    <w:p>
      <w:pPr>
        <w:spacing w:after="0"/>
        <w:ind w:left="0"/>
        <w:jc w:val="both"/>
      </w:pPr>
      <w:r>
        <w:rPr>
          <w:rFonts w:ascii="Times New Roman"/>
          <w:b w:val="false"/>
          <w:i w:val="false"/>
          <w:color w:val="000000"/>
          <w:sz w:val="28"/>
        </w:rPr>
        <w:t>
      2) ақпаратты талдау және тәуекелдерді бағалау кезеңдерді қолдана отырып жүзеге асырылады.</w:t>
      </w:r>
    </w:p>
    <w:bookmarkEnd w:id="46"/>
    <w:bookmarkStart w:name="z55" w:id="4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аудиторлық қызмет саласындағы заңнамасын бұзатын бақылау субъектілерін (объектілерін) анықтау үшін қажет.</w:t>
      </w:r>
    </w:p>
    <w:bookmarkEnd w:id="47"/>
    <w:bookmarkStart w:name="z56" w:id="48"/>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w:t>
      </w:r>
    </w:p>
    <w:bookmarkEnd w:id="48"/>
    <w:bookmarkStart w:name="z57" w:id="49"/>
    <w:p>
      <w:pPr>
        <w:spacing w:after="0"/>
        <w:ind w:left="0"/>
        <w:jc w:val="both"/>
      </w:pPr>
      <w:r>
        <w:rPr>
          <w:rFonts w:ascii="Times New Roman"/>
          <w:b w:val="false"/>
          <w:i w:val="false"/>
          <w:color w:val="000000"/>
          <w:sz w:val="28"/>
        </w:rPr>
        <w:t>
      1) бақылау субъектісі оның ішінде уәкілетті органға, қаржылық есептілік депозитарийіні (бұдан әрі – депозитарий) пайдалана отырып ұсынатын есептілік пен мәліметтер мониторингінің нәтижелері;</w:t>
      </w:r>
    </w:p>
    <w:bookmarkEnd w:id="49"/>
    <w:bookmarkStart w:name="z58" w:id="50"/>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пайдаланылады.</w:t>
      </w:r>
    </w:p>
    <w:bookmarkEnd w:id="50"/>
    <w:bookmarkStart w:name="z59" w:id="51"/>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w:t>
      </w:r>
    </w:p>
    <w:bookmarkEnd w:id="51"/>
    <w:bookmarkStart w:name="z60" w:id="52"/>
    <w:p>
      <w:pPr>
        <w:spacing w:after="0"/>
        <w:ind w:left="0"/>
        <w:jc w:val="both"/>
      </w:pPr>
      <w:r>
        <w:rPr>
          <w:rFonts w:ascii="Times New Roman"/>
          <w:b w:val="false"/>
          <w:i w:val="false"/>
          <w:color w:val="000000"/>
          <w:sz w:val="28"/>
        </w:rPr>
        <w:t>
      1) бақылау субъектісі оның ішінде уәкілетті органға, депозитарийіні пайдалана отырып ұсынатын есептілік пен мәліметтер мониторингінің нәтижелері;</w:t>
      </w:r>
    </w:p>
    <w:bookmarkEnd w:id="52"/>
    <w:bookmarkStart w:name="z61" w:id="53"/>
    <w:p>
      <w:pPr>
        <w:spacing w:after="0"/>
        <w:ind w:left="0"/>
        <w:jc w:val="both"/>
      </w:pPr>
      <w:r>
        <w:rPr>
          <w:rFonts w:ascii="Times New Roman"/>
          <w:b w:val="false"/>
          <w:i w:val="false"/>
          <w:color w:val="000000"/>
          <w:sz w:val="28"/>
        </w:rPr>
        <w:t>
      2) бақылау субъектілеріне (объектілеріне) алдыңғы тексерулердің нәтижелері ақпарат көздері пайдаланылады.</w:t>
      </w:r>
    </w:p>
    <w:bookmarkEnd w:id="53"/>
    <w:bookmarkStart w:name="z62" w:id="54"/>
    <w:p>
      <w:pPr>
        <w:spacing w:after="0"/>
        <w:ind w:left="0"/>
        <w:jc w:val="both"/>
      </w:pPr>
      <w:r>
        <w:rPr>
          <w:rFonts w:ascii="Times New Roman"/>
          <w:b w:val="false"/>
          <w:i w:val="false"/>
          <w:color w:val="000000"/>
          <w:sz w:val="28"/>
        </w:rPr>
        <w:t>
      12. Қолда бар ақпарат көздерінің негізінде аудиторлық қызмет саласындағы уәкілетті органдар талдауға және бағалаула жататын субъективті өлшемшарттарды бойынша деректерді қалыптастырады.</w:t>
      </w:r>
    </w:p>
    <w:bookmarkEnd w:id="54"/>
    <w:bookmarkStart w:name="z63" w:id="55"/>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5"/>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4" w:id="56"/>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6"/>
    <w:bookmarkStart w:name="z65" w:id="57"/>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Қағидалардың 3 және 4-қосымшасына сәйкес нысанда субъективті өлшемшарттар бойынша тәуекел дәрежесін айқындауға арналған субъективті өлшемшарттар тізбесіне сәйкес белгіленеді.</w:t>
      </w:r>
    </w:p>
    <w:bookmarkEnd w:id="57"/>
    <w:bookmarkStart w:name="z66" w:id="58"/>
    <w:p>
      <w:pPr>
        <w:spacing w:after="0"/>
        <w:ind w:left="0"/>
        <w:jc w:val="left"/>
      </w:pPr>
      <w:r>
        <w:rPr>
          <w:rFonts w:ascii="Times New Roman"/>
          <w:b/>
          <w:i w:val="false"/>
          <w:color w:val="000000"/>
        </w:rPr>
        <w:t xml:space="preserve"> 3- параграф. Тәуекелдерді басқару</w:t>
      </w:r>
    </w:p>
    <w:bookmarkEnd w:id="58"/>
    <w:bookmarkStart w:name="z67" w:id="59"/>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59"/>
    <w:bookmarkStart w:name="z68" w:id="60"/>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талаптарға сәйкестігіне тексеру жүргізуден босату мүмкін болады.</w:t>
      </w:r>
    </w:p>
    <w:bookmarkEnd w:id="60"/>
    <w:bookmarkStart w:name="z69" w:id="6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1"/>
    <w:bookmarkStart w:name="z70" w:id="62"/>
    <w:p>
      <w:pPr>
        <w:spacing w:after="0"/>
        <w:ind w:left="0"/>
        <w:jc w:val="both"/>
      </w:pPr>
      <w:r>
        <w:rPr>
          <w:rFonts w:ascii="Times New Roman"/>
          <w:b w:val="false"/>
          <w:i w:val="false"/>
          <w:color w:val="000000"/>
          <w:sz w:val="28"/>
        </w:rPr>
        <w:t>
      17.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62"/>
    <w:bookmarkStart w:name="z71" w:id="63"/>
    <w:p>
      <w:pPr>
        <w:spacing w:after="0"/>
        <w:ind w:left="0"/>
        <w:jc w:val="both"/>
      </w:pPr>
      <w:r>
        <w:rPr>
          <w:rFonts w:ascii="Times New Roman"/>
          <w:b w:val="false"/>
          <w:i w:val="false"/>
          <w:color w:val="000000"/>
          <w:sz w:val="28"/>
        </w:rPr>
        <w:t>
      Аудиторлық қызмет саласындағы уәкілетті орган бақылау субъектісіне (объектісіне) және (немесе) талаптарға сәйкестігін тексеруге бара отырып, профилактикалық бақылау жүргізуге байланысты осы Өлшемшарттардың 11-тармағына сәйкес бойынша ақпарат жинайды және субъективті өлшемшарттар бойынша деректер базасын қалыптастырады.</w:t>
      </w:r>
    </w:p>
    <w:bookmarkEnd w:id="63"/>
    <w:bookmarkStart w:name="z72" w:id="64"/>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депозитарияда автоматтандырылған режимде жүзеге асырылады.</w:t>
      </w:r>
    </w:p>
    <w:bookmarkEnd w:id="64"/>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14-тармағына сәйкес айқындалған субъективті өлшемшарттар бойынша тәуекел дәрежесінің көрсеткіші.</w:t>
      </w:r>
    </w:p>
    <w:bookmarkStart w:name="z73" w:id="65"/>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5"/>
    <w:bookmarkStart w:name="z74" w:id="66"/>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6"/>
    <w:bookmarkStart w:name="z75" w:id="67"/>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bookmarkEnd w:id="67"/>
    <w:bookmarkStart w:name="z76" w:id="68"/>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68"/>
    <w:bookmarkStart w:name="z77" w:id="69"/>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69"/>
    <w:bookmarkStart w:name="z78" w:id="70"/>
    <w:p>
      <w:pPr>
        <w:spacing w:after="0"/>
        <w:ind w:left="0"/>
        <w:jc w:val="both"/>
      </w:pPr>
      <w:r>
        <w:rPr>
          <w:rFonts w:ascii="Times New Roman"/>
          <w:b w:val="false"/>
          <w:i w:val="false"/>
          <w:color w:val="000000"/>
          <w:sz w:val="28"/>
        </w:rPr>
        <w:t>
      Бұл көрсеткіш мына формула бойынша есептеледі:</w:t>
      </w:r>
    </w:p>
    <w:bookmarkEnd w:id="70"/>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79" w:id="71"/>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71"/>
    <w:bookmarkStart w:name="z80" w:id="72"/>
    <w:p>
      <w:pPr>
        <w:spacing w:after="0"/>
        <w:ind w:left="0"/>
        <w:jc w:val="both"/>
      </w:pPr>
      <w:r>
        <w:rPr>
          <w:rFonts w:ascii="Times New Roman"/>
          <w:b w:val="false"/>
          <w:i w:val="false"/>
          <w:color w:val="000000"/>
          <w:sz w:val="28"/>
        </w:rPr>
        <w:t>
      Бұл көрсеткіш мына формула бойынша есептеледі:</w:t>
      </w:r>
    </w:p>
    <w:bookmarkEnd w:id="72"/>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81" w:id="73"/>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73"/>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82" w:id="74"/>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74"/>
    <w:bookmarkStart w:name="z83" w:id="75"/>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84" w:id="76"/>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76"/>
    <w:bookmarkStart w:name="z85" w:id="7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7" w:id="78"/>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9" w:id="79"/>
    <w:p>
      <w:pPr>
        <w:spacing w:after="0"/>
        <w:ind w:left="0"/>
        <w:jc w:val="left"/>
      </w:pPr>
      <w:r>
        <w:rPr>
          <w:rFonts w:ascii="Times New Roman"/>
          <w:b/>
          <w:i w:val="false"/>
          <w:color w:val="000000"/>
        </w:rPr>
        <w:t xml:space="preserve"> Талаптарға сәйкестігін тексеруді жүргізу үшін нормативтік құқықтық актілер талаптарының бұзылу дәрежесі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1" w:id="80"/>
    <w:p>
      <w:pPr>
        <w:spacing w:after="0"/>
        <w:ind w:left="0"/>
        <w:jc w:val="left"/>
      </w:pPr>
      <w:r>
        <w:rPr>
          <w:rFonts w:ascii="Times New Roman"/>
          <w:b/>
          <w:i w:val="false"/>
          <w:color w:val="000000"/>
        </w:rPr>
        <w:t xml:space="preserve"> Қазақстан Республикасы Кәсіпкерлік кодексінің 138 бабына сәйкес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ұсынбау немесе уақтылы ұсынбау (жыл сайынғы есеп есепті кезеңнен кейінгі жылдың 1 наурызына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ұсынбау немесе уақтылы ұсынбау (тоқсан сайынғы есеп есепті кезеңнен кейінгі айдың 15-күніне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ұсынбау немесе уақтылы ұсынбау (азаматтық-құқықтық жауапкершілікті міндетті сақтандыру шартын жасасқан күннен бастап 15 (он бес) жұмыс күн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3" w:id="81"/>
    <w:p>
      <w:pPr>
        <w:spacing w:after="0"/>
        <w:ind w:left="0"/>
        <w:jc w:val="left"/>
      </w:pPr>
      <w:r>
        <w:rPr>
          <w:rFonts w:ascii="Times New Roman"/>
          <w:b/>
          <w:i w:val="false"/>
          <w:color w:val="000000"/>
        </w:rPr>
        <w:t xml:space="preserve"> Қазақстан Республикасы Кәсіпкерлік кодексінің 138 бабына сәйкес кәсіби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қызметі туралы жартыжылдық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бақылауға 3 (үш) жылда бiр рет жүргізбеу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99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 xml:space="preserve">министрі 2023 жылғы </w:t>
            </w:r>
            <w:r>
              <w:br/>
            </w:r>
            <w:r>
              <w:rPr>
                <w:rFonts w:ascii="Times New Roman"/>
                <w:b w:val="false"/>
                <w:i w:val="false"/>
                <w:color w:val="000000"/>
                <w:sz w:val="20"/>
              </w:rPr>
              <w:t>5 маусымдағы № 606</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96" w:id="82"/>
    <w:p>
      <w:pPr>
        <w:spacing w:after="0"/>
        <w:ind w:left="0"/>
        <w:jc w:val="left"/>
      </w:pPr>
      <w:r>
        <w:rPr>
          <w:rFonts w:ascii="Times New Roman"/>
          <w:b/>
          <w:i w:val="false"/>
          <w:color w:val="000000"/>
        </w:rPr>
        <w:t xml:space="preserve"> Тексеру парағы</w:t>
      </w:r>
    </w:p>
    <w:bookmarkEnd w:id="82"/>
    <w:p>
      <w:pPr>
        <w:spacing w:after="0"/>
        <w:ind w:left="0"/>
        <w:jc w:val="both"/>
      </w:pPr>
      <w:r>
        <w:rPr>
          <w:rFonts w:ascii="Times New Roman"/>
          <w:b w:val="false"/>
          <w:i w:val="false"/>
          <w:color w:val="000000"/>
          <w:sz w:val="28"/>
        </w:rPr>
        <w:t xml:space="preserve">
      ____________________________________________________________________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аудиторлық ұйымдарға қатысты Бақылау субъектілерінің (объектілерінің) біртекті тобының атауы Тексеруді/ бақылау субъектісіне (объектісіне) бару арқылы профилактикалық бақылауды тағайындаған мемлекеттік орган________________________________ _______________________________________________________________________ Тексеруді/ бақылау субъектісіне (объектісіне) бару арқылы профилактикалық бақылауды тағайындау туралы акт _______________________ ______________________________________________________________________ №______________________ күні______________________________________ Бақылау субъектісінің (объектісінің) атауы______________________________ _______________________________________________________________________ Бақылау және қадағалау субъектісінің (объектісінің) (жеке сәйкестендіру нөмірі),бизнес-сәйкестендіру нөмірі_______________________________________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w:t>
            </w:r>
          </w:p>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p>
          <w:p>
            <w:pPr>
              <w:spacing w:after="20"/>
              <w:ind w:left="20"/>
              <w:jc w:val="both"/>
            </w:pP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p>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қолдану;</w:t>
            </w:r>
          </w:p>
          <w:p>
            <w:pPr>
              <w:spacing w:after="20"/>
              <w:ind w:left="20"/>
              <w:jc w:val="both"/>
            </w:pP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p>
          <w:p>
            <w:pPr>
              <w:spacing w:after="20"/>
              <w:ind w:left="20"/>
              <w:jc w:val="both"/>
            </w:pP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p>
          <w:p>
            <w:pPr>
              <w:spacing w:after="20"/>
              <w:ind w:left="20"/>
              <w:jc w:val="both"/>
            </w:pP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p>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 _____________________________________________________________________ лауазымы қолы</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тегі, аты, әкесінің аты (бар болған жағдайда) Бақылау субъектісінің басшысы _____________________________________________________________________ лауазымы қолы</w:t>
      </w:r>
    </w:p>
    <w:p>
      <w:pPr>
        <w:spacing w:after="0"/>
        <w:ind w:left="0"/>
        <w:jc w:val="both"/>
      </w:pPr>
      <w:r>
        <w:rPr>
          <w:rFonts w:ascii="Times New Roman"/>
          <w:b w:val="false"/>
          <w:i w:val="false"/>
          <w:color w:val="000000"/>
          <w:sz w:val="28"/>
        </w:rPr>
        <w:t>
      ____________________________________________________________________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99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606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99" w:id="83"/>
    <w:p>
      <w:pPr>
        <w:spacing w:after="0"/>
        <w:ind w:left="0"/>
        <w:jc w:val="left"/>
      </w:pPr>
      <w:r>
        <w:rPr>
          <w:rFonts w:ascii="Times New Roman"/>
          <w:b/>
          <w:i w:val="false"/>
          <w:color w:val="000000"/>
        </w:rPr>
        <w:t xml:space="preserve"> Тексеру парағы</w:t>
      </w:r>
    </w:p>
    <w:bookmarkEnd w:id="83"/>
    <w:bookmarkStart w:name="z100" w:id="84"/>
    <w:p>
      <w:pPr>
        <w:spacing w:after="0"/>
        <w:ind w:left="0"/>
        <w:jc w:val="both"/>
      </w:pPr>
      <w:r>
        <w:rPr>
          <w:rFonts w:ascii="Times New Roman"/>
          <w:b w:val="false"/>
          <w:i w:val="false"/>
          <w:color w:val="000000"/>
          <w:sz w:val="28"/>
        </w:rPr>
        <w:t xml:space="preserve">
      _____________________________________________________________________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 Бақылау субъектілерінің (объектілерінің) біртекті тобының атауы Тексеруді/ бақылау субъектісіне (объектісіне) бару арқылы профилактикалық бақылауды тағайындаған мемлекеттік орган ______________________________________________________________________ _______________________________________________________________________ Тексеруді/ бақылау субъектісіне (объектісіне) бару арқылы профилактикалық бақылауды тағайындау туралы акт__________________________________________ № ______________________ күні ____________________________________</w:t>
      </w:r>
    </w:p>
    <w:bookmarkEnd w:id="84"/>
    <w:p>
      <w:pPr>
        <w:spacing w:after="0"/>
        <w:ind w:left="0"/>
        <w:jc w:val="both"/>
      </w:pPr>
      <w:r>
        <w:rPr>
          <w:rFonts w:ascii="Times New Roman"/>
          <w:b w:val="false"/>
          <w:i w:val="false"/>
          <w:color w:val="000000"/>
          <w:sz w:val="28"/>
        </w:rPr>
        <w:t>
      Бақылау субъектісінің (объектісінің) атауы ___________________________ Бақылау және қадағалау субъектісінің (объектісінің) (жеке сәйкестендіру нөмірі), бизнес-сәйкестендіру нөмірі______________________________________________ Орналасқан жерінің мекенжайы 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w:t>
            </w:r>
          </w:p>
          <w:p>
            <w:pPr>
              <w:spacing w:after="20"/>
              <w:ind w:left="20"/>
              <w:jc w:val="both"/>
            </w:pPr>
            <w:r>
              <w:rPr>
                <w:rFonts w:ascii="Times New Roman"/>
                <w:b w:val="false"/>
                <w:i w:val="false"/>
                <w:color w:val="000000"/>
                <w:sz w:val="20"/>
              </w:rPr>
              <w:t>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xml:space="preserve">
ішкі бақылау қағидаларының және оларды жүзеге асырудың мынадай бағдарламаларының болуы: </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 ___________________________________________________________________________ лауазымы қолы ____________________________________________________________________________ тегі, аты, әкесінің аты (бар болған жағдайда) Бақылау субъектісінің басшысы_________________________________________________ лауазымы қолы ____________________________________________________________________________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99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606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4-қосымша</w:t>
            </w:r>
          </w:p>
        </w:tc>
      </w:tr>
    </w:tbl>
    <w:bookmarkStart w:name="z103" w:id="85"/>
    <w:p>
      <w:pPr>
        <w:spacing w:after="0"/>
        <w:ind w:left="0"/>
        <w:jc w:val="left"/>
      </w:pPr>
      <w:r>
        <w:rPr>
          <w:rFonts w:ascii="Times New Roman"/>
          <w:b/>
          <w:i w:val="false"/>
          <w:color w:val="000000"/>
        </w:rPr>
        <w:t xml:space="preserve"> Тексеру парағы</w:t>
      </w:r>
    </w:p>
    <w:bookmarkEnd w:id="85"/>
    <w:bookmarkStart w:name="z104" w:id="86"/>
    <w:p>
      <w:pPr>
        <w:spacing w:after="0"/>
        <w:ind w:left="0"/>
        <w:jc w:val="both"/>
      </w:pPr>
      <w:r>
        <w:rPr>
          <w:rFonts w:ascii="Times New Roman"/>
          <w:b w:val="false"/>
          <w:i w:val="false"/>
          <w:color w:val="000000"/>
          <w:sz w:val="28"/>
        </w:rPr>
        <w:t xml:space="preserve">
      _____________________________________________________________________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аудиторлық ұйымдарға қатысты  Бақылау субъектілерінің (объектілерінің) біртекті тобының атауы Тексеруді тағайындаған мемлекеттік орган_____________________________ ______________________________________________________________________ Тексеруді тағайындау туралы акт _____________________________________</w:t>
      </w:r>
    </w:p>
    <w:bookmarkEnd w:id="86"/>
    <w:p>
      <w:pPr>
        <w:spacing w:after="0"/>
        <w:ind w:left="0"/>
        <w:jc w:val="both"/>
      </w:pPr>
      <w:r>
        <w:rPr>
          <w:rFonts w:ascii="Times New Roman"/>
          <w:b w:val="false"/>
          <w:i w:val="false"/>
          <w:color w:val="000000"/>
          <w:sz w:val="28"/>
        </w:rPr>
        <w:t xml:space="preserve">
      № ____________________________ күні______________________________ </w:t>
      </w:r>
    </w:p>
    <w:p>
      <w:pPr>
        <w:spacing w:after="0"/>
        <w:ind w:left="0"/>
        <w:jc w:val="both"/>
      </w:pPr>
      <w:r>
        <w:rPr>
          <w:rFonts w:ascii="Times New Roman"/>
          <w:b w:val="false"/>
          <w:i w:val="false"/>
          <w:color w:val="000000"/>
          <w:sz w:val="28"/>
        </w:rPr>
        <w:t>
      Бақылау субъектісінің (объектісінің) атауы____________________________ Бақылау және қадағалау субъектісінің (объектісінің) (жеке сәйкестендіру  нөмірі),бизнес-сәйкестендіру нөмірі______________________________________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 _____________________________________________________________________ лауазымы қолы _____________________________________________________________________ тегі, аты, әкесінің аты (бар болған жағдайда) Бақылау субъектісінің басшысы _____________________________________________________________________ лауазымы қолы _____________________________________________________________________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99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606 бірлескен</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 xml:space="preserve">Республикасы Ұлттық </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w:t>
            </w:r>
            <w:r>
              <w:br/>
            </w:r>
            <w:r>
              <w:rPr>
                <w:rFonts w:ascii="Times New Roman"/>
                <w:b w:val="false"/>
                <w:i w:val="false"/>
                <w:color w:val="000000"/>
                <w:sz w:val="20"/>
              </w:rPr>
              <w:t>бұйрығына 5-қосымша</w:t>
            </w:r>
          </w:p>
        </w:tc>
      </w:tr>
    </w:tbl>
    <w:bookmarkStart w:name="z107" w:id="87"/>
    <w:p>
      <w:pPr>
        <w:spacing w:after="0"/>
        <w:ind w:left="0"/>
        <w:jc w:val="left"/>
      </w:pPr>
      <w:r>
        <w:rPr>
          <w:rFonts w:ascii="Times New Roman"/>
          <w:b/>
          <w:i w:val="false"/>
          <w:color w:val="000000"/>
        </w:rPr>
        <w:t xml:space="preserve"> Тексеру парағы</w:t>
      </w:r>
    </w:p>
    <w:bookmarkEnd w:id="87"/>
    <w:bookmarkStart w:name="z108" w:id="88"/>
    <w:p>
      <w:pPr>
        <w:spacing w:after="0"/>
        <w:ind w:left="0"/>
        <w:jc w:val="both"/>
      </w:pPr>
      <w:r>
        <w:rPr>
          <w:rFonts w:ascii="Times New Roman"/>
          <w:b w:val="false"/>
          <w:i w:val="false"/>
          <w:color w:val="000000"/>
          <w:sz w:val="28"/>
        </w:rPr>
        <w:t xml:space="preserve">
      ____________________________________________________________________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 Бақылау субъектілерінің (объектілерінің) біртекті тобының атауы _____________________________________________________________________ Тексеруді тағайындаған мемлекеттік орган ____________________________ _____________________________________________________________________ Тексеруді тағайындау туралы акт ___________________________________. №, _________________________________ күні ________________________</w:t>
      </w:r>
    </w:p>
    <w:bookmarkEnd w:id="88"/>
    <w:p>
      <w:pPr>
        <w:spacing w:after="0"/>
        <w:ind w:left="0"/>
        <w:jc w:val="both"/>
      </w:pPr>
      <w:r>
        <w:rPr>
          <w:rFonts w:ascii="Times New Roman"/>
          <w:b w:val="false"/>
          <w:i w:val="false"/>
          <w:color w:val="000000"/>
          <w:sz w:val="28"/>
        </w:rPr>
        <w:t>
      Бақылау субъектісінің (объектісінің) атауы ___________________________ ____________________________________________________________________ Бақылау және қадағалау субъектісінің (объектісінің) (жеке сәйкестендіру нөмірі),бизнес-сәйкестендіру нөмірі______________________________________ Орналасқан жерінің мекенжайы_____________________________________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(адамдар)_____________________________________________ _________________________________________________________________________ лауазымы қолы _________________________________________________________________________ тегі, аты, әкесінің аты (бар болған жағдайда) Бақылау субъектісінің басшысы__________________________________________ __________________________________________________________________________ лауазымы қолы _________________________________________________________________________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