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382a" w14:textId="32e3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қағидаларын бекіту туралы" Қазақстан Республикасы Инвестициялар және даму министрінің 2015 жылғы 30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 маусымдағы № 401 бұйрығы. Қазақстан Республикасының Әділет министрлігінде 2023 жылғы 2 маусымда № 32676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қағидаларын бекіту туралы" Қазақстан Республикасы Инвестициялар және даму министрінің 2015 жылғы 30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қағидалары (бұдан әрі - Қағидалар)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тәртібін, сондай-ақ теміржол көлігінің жолаушыларының және азаматтардың қауіптілігі жоғары аймақтарда болуы және теміржолдар арқылы жүріп өту кезіндегі қауіпсіздігі шараларын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қолданылады:</w:t>
      </w:r>
    </w:p>
    <w:bookmarkStart w:name="z6" w:id="0"/>
    <w:p>
      <w:pPr>
        <w:spacing w:after="0"/>
        <w:ind w:left="0"/>
        <w:jc w:val="both"/>
      </w:pPr>
      <w:r>
        <w:rPr>
          <w:rFonts w:ascii="Times New Roman"/>
          <w:b w:val="false"/>
          <w:i w:val="false"/>
          <w:color w:val="000000"/>
          <w:sz w:val="28"/>
        </w:rPr>
        <w:t>
      1) жаяу жүргіншілер төсемі - "Жолдар арқылы өту" көрсеткішімен белгіленген және теміржолдар арқылы жаяу жүргіншілердің қозғалуы үшін бөлінген теміржолдар учаскесі;</w:t>
      </w:r>
    </w:p>
    <w:bookmarkEnd w:id="0"/>
    <w:bookmarkStart w:name="z7" w:id="1"/>
    <w:p>
      <w:pPr>
        <w:spacing w:after="0"/>
        <w:ind w:left="0"/>
        <w:jc w:val="both"/>
      </w:pPr>
      <w:r>
        <w:rPr>
          <w:rFonts w:ascii="Times New Roman"/>
          <w:b w:val="false"/>
          <w:i w:val="false"/>
          <w:color w:val="000000"/>
          <w:sz w:val="28"/>
        </w:rPr>
        <w:t>
      2) теміржол көлігінің қауіптілігі жоғары аймағы - теміржолдар, теміржол станцияларының, вокзалдардың аумақтары, тасымал процесімен байланысты теміржол көлігі ұйымдарының өзге де объектілері;</w:t>
      </w:r>
    </w:p>
    <w:bookmarkEnd w:id="1"/>
    <w:bookmarkStart w:name="z8" w:id="2"/>
    <w:p>
      <w:pPr>
        <w:spacing w:after="0"/>
        <w:ind w:left="0"/>
        <w:jc w:val="both"/>
      </w:pPr>
      <w:r>
        <w:rPr>
          <w:rFonts w:ascii="Times New Roman"/>
          <w:b w:val="false"/>
          <w:i w:val="false"/>
          <w:color w:val="000000"/>
          <w:sz w:val="28"/>
        </w:rPr>
        <w:t>
      3) теміржол өткелі – теміржол көлігіндегі жылжымалы құрамын және көлік құралдарын өткізу жағдайы қауіпсіздігін қамтамасыз ететін, құрылғылармен жабдықталған, автомобиль жолдарының теміржол жолдарымен бір деңгейде қиылысуы.";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Қауіптілігі жоғары аймақтарда:</w:t>
      </w:r>
    </w:p>
    <w:bookmarkStart w:name="z10" w:id="3"/>
    <w:p>
      <w:pPr>
        <w:spacing w:after="0"/>
        <w:ind w:left="0"/>
        <w:jc w:val="both"/>
      </w:pPr>
      <w:r>
        <w:rPr>
          <w:rFonts w:ascii="Times New Roman"/>
          <w:b w:val="false"/>
          <w:i w:val="false"/>
          <w:color w:val="000000"/>
          <w:sz w:val="28"/>
        </w:rPr>
        <w:t>
      1) балаларды жолаушылар платформасында (перронда) қараусыз қалдыруға, әртүрлі қимыл ойындарын ұйымдастыруға;</w:t>
      </w:r>
    </w:p>
    <w:bookmarkEnd w:id="3"/>
    <w:bookmarkStart w:name="z11" w:id="4"/>
    <w:p>
      <w:pPr>
        <w:spacing w:after="0"/>
        <w:ind w:left="0"/>
        <w:jc w:val="both"/>
      </w:pPr>
      <w:r>
        <w:rPr>
          <w:rFonts w:ascii="Times New Roman"/>
          <w:b w:val="false"/>
          <w:i w:val="false"/>
          <w:color w:val="000000"/>
          <w:sz w:val="28"/>
        </w:rPr>
        <w:t>
      2) қол жүгімен, багажбен, өзге де заттармен вокзал ғимаратына/ғимаратынан перрондарға, отырғызу платформаларына, жаяу жүргіншілер көпірлеріне, төсемдерге, туннельдерге өтетін жолдарды бөгеуге;</w:t>
      </w:r>
    </w:p>
    <w:bookmarkEnd w:id="4"/>
    <w:bookmarkStart w:name="z12" w:id="5"/>
    <w:p>
      <w:pPr>
        <w:spacing w:after="0"/>
        <w:ind w:left="0"/>
        <w:jc w:val="both"/>
      </w:pPr>
      <w:r>
        <w:rPr>
          <w:rFonts w:ascii="Times New Roman"/>
          <w:b w:val="false"/>
          <w:i w:val="false"/>
          <w:color w:val="000000"/>
          <w:sz w:val="28"/>
        </w:rPr>
        <w:t>
      3) вагондардың төбесіне, есігінің баспалдақтарына, өту алаңдарына отыруға; поезд жүріп келе жатқанда поезға отыруға және түсуге, поезд жүріп келе жатқанда вагон терезелерінен және тамбурлардың есіктерінен үңіліп қарауға;</w:t>
      </w:r>
    </w:p>
    <w:bookmarkEnd w:id="5"/>
    <w:bookmarkStart w:name="z13" w:id="6"/>
    <w:p>
      <w:pPr>
        <w:spacing w:after="0"/>
        <w:ind w:left="0"/>
        <w:jc w:val="both"/>
      </w:pPr>
      <w:r>
        <w:rPr>
          <w:rFonts w:ascii="Times New Roman"/>
          <w:b w:val="false"/>
          <w:i w:val="false"/>
          <w:color w:val="000000"/>
          <w:sz w:val="28"/>
        </w:rPr>
        <w:t>
      4) ілме басқыштар мен өту алаңдарында және теміржол көлігінің баспалдақтары мен басқа да сыртқы бөліктерінде тұруға, жүріп келе жатқан поезд вагондарының есіктерін ашуға, қала маңына қатынайтын поездардың автоматтық есіктерінің ашылып-жабылуына бөгет жасауға;</w:t>
      </w:r>
    </w:p>
    <w:bookmarkEnd w:id="6"/>
    <w:bookmarkStart w:name="z14" w:id="7"/>
    <w:p>
      <w:pPr>
        <w:spacing w:after="0"/>
        <w:ind w:left="0"/>
        <w:jc w:val="both"/>
      </w:pPr>
      <w:r>
        <w:rPr>
          <w:rFonts w:ascii="Times New Roman"/>
          <w:b w:val="false"/>
          <w:i w:val="false"/>
          <w:color w:val="000000"/>
          <w:sz w:val="28"/>
        </w:rPr>
        <w:t>
      5) арнайы рұқсатсыз жүк поездарында жүруіне;</w:t>
      </w:r>
    </w:p>
    <w:bookmarkEnd w:id="7"/>
    <w:bookmarkStart w:name="z15" w:id="8"/>
    <w:p>
      <w:pPr>
        <w:spacing w:after="0"/>
        <w:ind w:left="0"/>
        <w:jc w:val="both"/>
      </w:pPr>
      <w:r>
        <w:rPr>
          <w:rFonts w:ascii="Times New Roman"/>
          <w:b w:val="false"/>
          <w:i w:val="false"/>
          <w:color w:val="000000"/>
          <w:sz w:val="28"/>
        </w:rPr>
        <w:t>
      6) жолаушы платформасы арқылы келе жатқан немесе жөнеліп бара жатқан поезд вагонының жанында жүгіруге, сондай-ақ тоқтаусыз өтіп бара жатқан поездың қозғалысы кезінде платформаның шетінен екі метрден кем қашықтықта болуға; поезд толық тоқтамай вагонға жақындауға; билетсіз жүк тасымалы мен жолаушы тасымалын жүргізуге;</w:t>
      </w:r>
    </w:p>
    <w:bookmarkEnd w:id="8"/>
    <w:bookmarkStart w:name="z16" w:id="9"/>
    <w:p>
      <w:pPr>
        <w:spacing w:after="0"/>
        <w:ind w:left="0"/>
        <w:jc w:val="both"/>
      </w:pPr>
      <w:r>
        <w:rPr>
          <w:rFonts w:ascii="Times New Roman"/>
          <w:b w:val="false"/>
          <w:i w:val="false"/>
          <w:color w:val="000000"/>
          <w:sz w:val="28"/>
        </w:rPr>
        <w:t>
      7) поезды қажетсіз, өз еркімен тоқтатуға;</w:t>
      </w:r>
    </w:p>
    <w:bookmarkEnd w:id="9"/>
    <w:bookmarkStart w:name="z17" w:id="10"/>
    <w:p>
      <w:pPr>
        <w:spacing w:after="0"/>
        <w:ind w:left="0"/>
        <w:jc w:val="both"/>
      </w:pPr>
      <w:r>
        <w:rPr>
          <w:rFonts w:ascii="Times New Roman"/>
          <w:b w:val="false"/>
          <w:i w:val="false"/>
          <w:color w:val="000000"/>
          <w:sz w:val="28"/>
        </w:rPr>
        <w:t>
      8) жылжымалы құрам толық тоқтағанға дейін және есік ашылғанға дейін сары шектеу сызығының артында болуға;</w:t>
      </w:r>
    </w:p>
    <w:bookmarkEnd w:id="10"/>
    <w:bookmarkStart w:name="z18" w:id="11"/>
    <w:p>
      <w:pPr>
        <w:spacing w:after="0"/>
        <w:ind w:left="0"/>
        <w:jc w:val="both"/>
      </w:pPr>
      <w:r>
        <w:rPr>
          <w:rFonts w:ascii="Times New Roman"/>
          <w:b w:val="false"/>
          <w:i w:val="false"/>
          <w:color w:val="000000"/>
          <w:sz w:val="28"/>
        </w:rPr>
        <w:t>
      9) жылжымалы құрам астынан өтуге;</w:t>
      </w:r>
    </w:p>
    <w:bookmarkEnd w:id="11"/>
    <w:bookmarkStart w:name="z19" w:id="12"/>
    <w:p>
      <w:pPr>
        <w:spacing w:after="0"/>
        <w:ind w:left="0"/>
        <w:jc w:val="both"/>
      </w:pPr>
      <w:r>
        <w:rPr>
          <w:rFonts w:ascii="Times New Roman"/>
          <w:b w:val="false"/>
          <w:i w:val="false"/>
          <w:color w:val="000000"/>
          <w:sz w:val="28"/>
        </w:rPr>
        <w:t>
      10) жолда жолаушылар платформасынан секіруге;</w:t>
      </w:r>
    </w:p>
    <w:bookmarkEnd w:id="12"/>
    <w:bookmarkStart w:name="z20" w:id="13"/>
    <w:p>
      <w:pPr>
        <w:spacing w:after="0"/>
        <w:ind w:left="0"/>
        <w:jc w:val="both"/>
      </w:pPr>
      <w:r>
        <w:rPr>
          <w:rFonts w:ascii="Times New Roman"/>
          <w:b w:val="false"/>
          <w:i w:val="false"/>
          <w:color w:val="000000"/>
          <w:sz w:val="28"/>
        </w:rPr>
        <w:t>
      11) электрлендірілген учаскелерде тіректерге көтерілуге, сондай-ақ тіректен рельске баратын төменге жанасуға, жерде жатқан электр сымына сегіз метрден жақындауға;</w:t>
      </w:r>
    </w:p>
    <w:bookmarkEnd w:id="13"/>
    <w:bookmarkStart w:name="z21" w:id="14"/>
    <w:p>
      <w:pPr>
        <w:spacing w:after="0"/>
        <w:ind w:left="0"/>
        <w:jc w:val="both"/>
      </w:pPr>
      <w:r>
        <w:rPr>
          <w:rFonts w:ascii="Times New Roman"/>
          <w:b w:val="false"/>
          <w:i w:val="false"/>
          <w:color w:val="000000"/>
          <w:sz w:val="28"/>
        </w:rPr>
        <w:t>
      12) жылжымалы құрам вагондарының тұтқаларына жабысуға;</w:t>
      </w:r>
    </w:p>
    <w:bookmarkEnd w:id="14"/>
    <w:bookmarkStart w:name="z22" w:id="15"/>
    <w:p>
      <w:pPr>
        <w:spacing w:after="0"/>
        <w:ind w:left="0"/>
        <w:jc w:val="both"/>
      </w:pPr>
      <w:r>
        <w:rPr>
          <w:rFonts w:ascii="Times New Roman"/>
          <w:b w:val="false"/>
          <w:i w:val="false"/>
          <w:color w:val="000000"/>
          <w:sz w:val="28"/>
        </w:rPr>
        <w:t>
      13) жолаушылар платформаларында (перрондарда) теміржол көлігі қозғалысының бұзылуын тудыруы мүмкін заттарды төсеуге, лақтыруға, қалдыруға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Теміржол көлігінің қауіптілігі жоғары аймақтарында объектілерді орналастыруға жұмыстар жүргізуге рұқсат алу үшін Ұлттық инфрақұрылым операторына мынадай құжаттар ұсынылады:</w:t>
      </w:r>
    </w:p>
    <w:bookmarkStart w:name="z24" w:id="16"/>
    <w:p>
      <w:pPr>
        <w:spacing w:after="0"/>
        <w:ind w:left="0"/>
        <w:jc w:val="both"/>
      </w:pPr>
      <w:r>
        <w:rPr>
          <w:rFonts w:ascii="Times New Roman"/>
          <w:b w:val="false"/>
          <w:i w:val="false"/>
          <w:color w:val="000000"/>
          <w:sz w:val="28"/>
        </w:rPr>
        <w:t>
      1) еркін нысандағы жазбаша өтініш;</w:t>
      </w:r>
    </w:p>
    <w:bookmarkEnd w:id="16"/>
    <w:bookmarkStart w:name="z25" w:id="17"/>
    <w:p>
      <w:pPr>
        <w:spacing w:after="0"/>
        <w:ind w:left="0"/>
        <w:jc w:val="both"/>
      </w:pPr>
      <w:r>
        <w:rPr>
          <w:rFonts w:ascii="Times New Roman"/>
          <w:b w:val="false"/>
          <w:i w:val="false"/>
          <w:color w:val="000000"/>
          <w:sz w:val="28"/>
        </w:rPr>
        <w:t>
      2) "Қазақстан Республикасындағы сәулет, қала құрылысы және құрылыс қызметі туралы" Қазақстан Республикасының Заңында белгіленген тәртіпте әзірленген және бекітілген жобалық құжаттама;</w:t>
      </w:r>
    </w:p>
    <w:bookmarkEnd w:id="17"/>
    <w:bookmarkStart w:name="z26" w:id="18"/>
    <w:p>
      <w:pPr>
        <w:spacing w:after="0"/>
        <w:ind w:left="0"/>
        <w:jc w:val="both"/>
      </w:pPr>
      <w:r>
        <w:rPr>
          <w:rFonts w:ascii="Times New Roman"/>
          <w:b w:val="false"/>
          <w:i w:val="false"/>
          <w:color w:val="000000"/>
          <w:sz w:val="28"/>
        </w:rPr>
        <w:t>
      3) жұмыстар жүргізу кезінде теміржол көлігінің қауіптілігі жоғары аймағында зақым келтірілген элементтерді қалпына келтіру туралы міндеттеме;</w:t>
      </w:r>
    </w:p>
    <w:bookmarkEnd w:id="18"/>
    <w:bookmarkStart w:name="z27" w:id="19"/>
    <w:p>
      <w:pPr>
        <w:spacing w:after="0"/>
        <w:ind w:left="0"/>
        <w:jc w:val="both"/>
      </w:pPr>
      <w:r>
        <w:rPr>
          <w:rFonts w:ascii="Times New Roman"/>
          <w:b w:val="false"/>
          <w:i w:val="false"/>
          <w:color w:val="000000"/>
          <w:sz w:val="28"/>
        </w:rPr>
        <w:t>
      4) жұмыстарды жүргізу қоршаулар мен орындарды қою схемасы;</w:t>
      </w:r>
    </w:p>
    <w:bookmarkEnd w:id="19"/>
    <w:bookmarkStart w:name="z28" w:id="20"/>
    <w:p>
      <w:pPr>
        <w:spacing w:after="0"/>
        <w:ind w:left="0"/>
        <w:jc w:val="both"/>
      </w:pPr>
      <w:r>
        <w:rPr>
          <w:rFonts w:ascii="Times New Roman"/>
          <w:b w:val="false"/>
          <w:i w:val="false"/>
          <w:color w:val="000000"/>
          <w:sz w:val="28"/>
        </w:rPr>
        <w:t>
      5) жұмыстарды жүргізудің күнтізбелік кестесі.";</w:t>
      </w:r>
    </w:p>
    <w:bookmarkEnd w:id="20"/>
    <w:bookmarkStart w:name="z29" w:id="21"/>
    <w:p>
      <w:pPr>
        <w:spacing w:after="0"/>
        <w:ind w:left="0"/>
        <w:jc w:val="both"/>
      </w:pPr>
      <w:r>
        <w:rPr>
          <w:rFonts w:ascii="Times New Roman"/>
          <w:b w:val="false"/>
          <w:i w:val="false"/>
          <w:color w:val="000000"/>
          <w:sz w:val="28"/>
        </w:rPr>
        <w:t>
      15-тармақ мынадай редакцияда жазылсын:</w:t>
      </w:r>
    </w:p>
    <w:bookmarkEnd w:id="21"/>
    <w:p>
      <w:pPr>
        <w:spacing w:after="0"/>
        <w:ind w:left="0"/>
        <w:jc w:val="both"/>
      </w:pPr>
      <w:r>
        <w:rPr>
          <w:rFonts w:ascii="Times New Roman"/>
          <w:b w:val="false"/>
          <w:i w:val="false"/>
          <w:color w:val="000000"/>
          <w:sz w:val="28"/>
        </w:rPr>
        <w:t>
      "15. Өтініш осы Қағидалардың 14-тармағында көрсетілген құжаттар келіп түскен күннен бастап жеті жұмыс күннің ішінде қаралады. Көрсетілген мерзімнен кейін дәлелді жауап беріледі. Осы Қағидалардың 14-тармағында көрсетілген құжаттарды ұсынбау қауіптілігі жоғары аймағында объектіні орналастыруға және жұмыстар жүргізуге рұқсат беруден бас тартуға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Авариялық-қалпына келтіру жұмыстары Ұлттық инфрақұрылым операторы өкілінің қатысуымен кейіннен рұқсат беруімен орындалады.".</w:t>
      </w:r>
    </w:p>
    <w:bookmarkStart w:name="z31" w:id="2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2"/>
    <w:bookmarkStart w:name="z32"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3" w:id="2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3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3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