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d847" w14:textId="7d1d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саласындағы біліктілік талаптарына сәйкестігіне бақылау саласындағы тәуекел дәрежесін бағалау өлшемшарттарын және тексеру парақтарын бекіту туралы" Қазақстан Республикасы Энергетика министрінің міндетін атқарушының 2022 жылғы 29 қарашадағы № 387 және Қазақстан Республикасы Ұлттық экономика министрінің міндетін атқарушының 2022 жылғы 30 қарашадағы № 96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31 мамырдағы № 204 және Қазақстан Республикасы Ұлттық экономика министрінің 2023 жылғы 1 маусымдағы № 94 бірлескен бұйрығы. Қазақстан Республикасының Әділет министрлігінде 2023 жылғы 1 маусымда № 32653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"Көмірсутектер саласындағы біліктілік талаптарына сәйкестігіне бақылау саласындағы тәуекел дәрежесін бағалау өлшемшарттарын және тексеру парақтарын бекіту туралы" Қазақстан Республикасы Энергетика министрінің міндетін атқарушының 2022 жылғы 29 қарашадағы № 387 және Қазақстан Республикасы Ұлттық экономика министрінің міндетін атқарушының 2022 жылғы 30 қарашадағы № 96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30854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Көмірсутектер саласындағы біліктілік талаптарына сәйкестігіне бақылау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Өлшемшарттарда мынадай ұғымдар пайдаланылады:</w:t>
      </w:r>
    </w:p>
    <w:p>
      <w:pPr>
        <w:spacing w:after="0"/>
        <w:ind w:left="0"/>
        <w:jc w:val="both"/>
      </w:pPr>
      <w:r>
        <w:rPr>
          <w:rFonts w:ascii="Times New Roman"/>
          <w:b w:val="false"/>
          <w:i w:val="false"/>
          <w:color w:val="000000"/>
          <w:sz w:val="28"/>
        </w:rPr>
        <w:t>
      1) бақылау субъектісі – көмірсутектер саласындағы жұмыстар мен көрсетілетін қызметтерге лицензиясы бар лицензиаттар;</w:t>
      </w:r>
    </w:p>
    <w:p>
      <w:pPr>
        <w:spacing w:after="0"/>
        <w:ind w:left="0"/>
        <w:jc w:val="both"/>
      </w:pPr>
      <w:r>
        <w:rPr>
          <w:rFonts w:ascii="Times New Roman"/>
          <w:b w:val="false"/>
          <w:i w:val="false"/>
          <w:color w:val="000000"/>
          <w:sz w:val="28"/>
        </w:rPr>
        <w:t>
      2) балл – тәуекелді есептеудің сандық өлшемі;</w:t>
      </w:r>
    </w:p>
    <w:p>
      <w:pPr>
        <w:spacing w:after="0"/>
        <w:ind w:left="0"/>
        <w:jc w:val="both"/>
      </w:pPr>
      <w:r>
        <w:rPr>
          <w:rFonts w:ascii="Times New Roman"/>
          <w:b w:val="false"/>
          <w:i w:val="false"/>
          <w:color w:val="000000"/>
          <w:sz w:val="28"/>
        </w:rPr>
        <w:t>
      3)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p>
      <w:pPr>
        <w:spacing w:after="0"/>
        <w:ind w:left="0"/>
        <w:jc w:val="both"/>
      </w:pPr>
      <w:r>
        <w:rPr>
          <w:rFonts w:ascii="Times New Roman"/>
          <w:b w:val="false"/>
          <w:i w:val="false"/>
          <w:color w:val="000000"/>
          <w:sz w:val="28"/>
        </w:rPr>
        <w:t>
      4) болмашы бұзушылықтар – қондырғыларды, машиналарды, тетіктерді, аспаптарды, жабдықтарды тиісінше пайдалануды және оларға техникалық қызмет көрсетуді, еңбек қауіпсіздігі және өнеркәсіптік қауіпсіздік; қоршаған ортаны қорғау, метрологиялық бақылау; технологиялық процесті және берілген сападағы өнімді шығаруды сақтау, магистральдық құбырларды пайдаланудың технологиялық процесін сақтауды қамтамасыз ететін жауапты тұлғалардың болмауына байланысты бұзушылықтар;</w:t>
      </w:r>
    </w:p>
    <w:p>
      <w:pPr>
        <w:spacing w:after="0"/>
        <w:ind w:left="0"/>
        <w:jc w:val="both"/>
      </w:pPr>
      <w:r>
        <w:rPr>
          <w:rFonts w:ascii="Times New Roman"/>
          <w:b w:val="false"/>
          <w:i w:val="false"/>
          <w:color w:val="000000"/>
          <w:sz w:val="28"/>
        </w:rPr>
        <w:t>
      5)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6) елеулі бұзушылықтар – біліктілік құрамының сәйкессіздігіне, бекітілген бағдарламалар мен жоспарлардың болмауына, мемлекеттік органдар мен ұйымдардан заңды тұлға-лицензиат қайта ұйымдастырылған жағдайда лицензияны және (немесе) қосымшаларды қайта ресімдемеу туралы мәліметтердің болуына, қондырғыларды, машиналарды, тетіктерді, аспаптарды, жабдықтарды тиісінше пайдалануды және оларға техникалық қызмет көрсетуді, еңбек қауіпсіздігі және өнеркәсіптік қауіпсіздік, қоршаған ортаны қорғау, метрологиялық бақылауды қамтамасыз ететін жауапты тұлғалардың болмауына байланысты бұзушылықтар;</w:t>
      </w:r>
    </w:p>
    <w:p>
      <w:pPr>
        <w:spacing w:after="0"/>
        <w:ind w:left="0"/>
        <w:jc w:val="both"/>
      </w:pPr>
      <w:r>
        <w:rPr>
          <w:rFonts w:ascii="Times New Roman"/>
          <w:b w:val="false"/>
          <w:i w:val="false"/>
          <w:color w:val="000000"/>
          <w:sz w:val="28"/>
        </w:rPr>
        <w:t>
      7) лицензиат – лицензиясы бар жеке немесе заңды тұлға, сондай-ақ қызметінің нысанасы қаржылық қызметтер көрсету болып табылатын шетелдік заңды тұлғаның филиалы;</w:t>
      </w:r>
    </w:p>
    <w:p>
      <w:pPr>
        <w:spacing w:after="0"/>
        <w:ind w:left="0"/>
        <w:jc w:val="both"/>
      </w:pPr>
      <w:r>
        <w:rPr>
          <w:rFonts w:ascii="Times New Roman"/>
          <w:b w:val="false"/>
          <w:i w:val="false"/>
          <w:color w:val="000000"/>
          <w:sz w:val="28"/>
        </w:rPr>
        <w:t>
      8) 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p>
      <w:pPr>
        <w:spacing w:after="0"/>
        <w:ind w:left="0"/>
        <w:jc w:val="both"/>
      </w:pPr>
      <w:r>
        <w:rPr>
          <w:rFonts w:ascii="Times New Roman"/>
          <w:b w:val="false"/>
          <w:i w:val="false"/>
          <w:color w:val="000000"/>
          <w:sz w:val="28"/>
        </w:rPr>
        <w:t>
      9) лицензияланатын қызмет түрі – айналысу үшін осы Заңға сәйкес лицензия алу талап етілетін қызмет түрі (белгілі бір әрекет (операция, сақтандыру сыныптары);</w:t>
      </w:r>
    </w:p>
    <w:p>
      <w:pPr>
        <w:spacing w:after="0"/>
        <w:ind w:left="0"/>
        <w:jc w:val="both"/>
      </w:pPr>
      <w:r>
        <w:rPr>
          <w:rFonts w:ascii="Times New Roman"/>
          <w:b w:val="false"/>
          <w:i w:val="false"/>
          <w:color w:val="000000"/>
          <w:sz w:val="28"/>
        </w:rPr>
        <w:t>
      10) лицензияланатын қызмет түрінің кіші түрі – бір лицензия аясында тиісті лицензияланатын қызмет түрін нақтылау;</w:t>
      </w:r>
    </w:p>
    <w:p>
      <w:pPr>
        <w:spacing w:after="0"/>
        <w:ind w:left="0"/>
        <w:jc w:val="both"/>
      </w:pPr>
      <w:r>
        <w:rPr>
          <w:rFonts w:ascii="Times New Roman"/>
          <w:b w:val="false"/>
          <w:i w:val="false"/>
          <w:color w:val="000000"/>
          <w:sz w:val="28"/>
        </w:rPr>
        <w:t xml:space="preserve">
      11) өрескел бұзушылықтар – меншік құқығында немесе өзге де заңды негізде технологиялық регламенттің, өндірістік базаның, қажетті аспаптар мен жабдықтардың, қоймалардың, зертханалардың болмауына байланысты бұзушылықтар; </w:t>
      </w:r>
    </w:p>
    <w:p>
      <w:pPr>
        <w:spacing w:after="0"/>
        <w:ind w:left="0"/>
        <w:jc w:val="both"/>
      </w:pPr>
      <w:r>
        <w:rPr>
          <w:rFonts w:ascii="Times New Roman"/>
          <w:b w:val="false"/>
          <w:i w:val="false"/>
          <w:color w:val="000000"/>
          <w:sz w:val="28"/>
        </w:rPr>
        <w:t>
      12)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13)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p>
      <w:pPr>
        <w:spacing w:after="0"/>
        <w:ind w:left="0"/>
        <w:jc w:val="both"/>
      </w:pPr>
      <w:r>
        <w:rPr>
          <w:rFonts w:ascii="Times New Roman"/>
          <w:b w:val="false"/>
          <w:i w:val="false"/>
          <w:color w:val="000000"/>
          <w:sz w:val="28"/>
        </w:rPr>
        <w:t>
      14)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15)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 жатқызуға мүмкіндік беретін сандық және сапалық көрсеткіштің жиынтығы;</w:t>
      </w:r>
    </w:p>
    <w:p>
      <w:pPr>
        <w:spacing w:after="0"/>
        <w:ind w:left="0"/>
        <w:jc w:val="both"/>
      </w:pPr>
      <w:r>
        <w:rPr>
          <w:rFonts w:ascii="Times New Roman"/>
          <w:b w:val="false"/>
          <w:i w:val="false"/>
          <w:color w:val="000000"/>
          <w:sz w:val="28"/>
        </w:rPr>
        <w:t>
      16)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Деректер базасын қалыптастыру және ақпарат жинау Қазақстан Республикасының уран өндіру саласындағы заңнамасын бұзатын бақылау субъектілерін (объектілерін) анықтау үшін қажет.</w:t>
      </w:r>
    </w:p>
    <w:p>
      <w:pPr>
        <w:spacing w:after="0"/>
        <w:ind w:left="0"/>
        <w:jc w:val="both"/>
      </w:pPr>
      <w:r>
        <w:rPr>
          <w:rFonts w:ascii="Times New Roman"/>
          <w:b w:val="false"/>
          <w:i w:val="false"/>
          <w:color w:val="000000"/>
          <w:sz w:val="28"/>
        </w:rPr>
        <w:t>
      Тәуекел дәрежесін бағалау үшін бақылау субъектілеріне (объектілеріне) бару арқылы алдыңғы тексерулердің және профилактикалық бақылаудың нәтижелері пайдаланылады.</w:t>
      </w:r>
    </w:p>
    <w:bookmarkStart w:name="z8" w:id="1"/>
    <w:p>
      <w:pPr>
        <w:spacing w:after="0"/>
        <w:ind w:left="0"/>
        <w:jc w:val="both"/>
      </w:pPr>
      <w:r>
        <w:rPr>
          <w:rFonts w:ascii="Times New Roman"/>
          <w:b w:val="false"/>
          <w:i w:val="false"/>
          <w:color w:val="000000"/>
          <w:sz w:val="28"/>
        </w:rPr>
        <w:t xml:space="preserve">
      11.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бұзушылықтар бойынша тәуекел дәрежесінің көрсеткішін және субъективті өлшемшарттар (SC) бойынша тәуекел дәрежесінің көрсеткішін қосу жолымен, деректер мәндерін 0-ден 100 баллға дейінгі диапозонға қалыпқа келтіре отырып, автоматтандырылған режимде жүзеге асырылады. </w:t>
      </w:r>
    </w:p>
    <w:bookmarkEnd w:id="1"/>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әрбір мемлекеттік бақылау саласының бақылау субъектілерінің (объектілерінің) біртекті тобының әрбір бақылау субъектісі (объектісі) бойынша жүргізіледі. Бұл ретте бір мемлекеттік бақылау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both"/>
      </w:pPr>
      <w:r>
        <w:rPr>
          <w:rFonts w:ascii="Times New Roman"/>
          <w:b w:val="false"/>
          <w:i w:val="false"/>
          <w:color w:val="000000"/>
          <w:sz w:val="28"/>
        </w:rPr>
        <w:t>
      Алдыңғы тексерулер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p>
      <w:pPr>
        <w:spacing w:after="0"/>
        <w:ind w:left="0"/>
        <w:jc w:val="both"/>
      </w:pPr>
      <w:r>
        <w:rPr>
          <w:rFonts w:ascii="Times New Roman"/>
          <w:b w:val="false"/>
          <w:i w:val="false"/>
          <w:color w:val="000000"/>
          <w:sz w:val="28"/>
        </w:rPr>
        <w:t>
      Осы өлшемшарттың 10-тармағында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xml:space="preserve">
      Жалпы көрсеткіштің алынған мәні бақылау субъектісін мынадай тәуекел дәрежесінің біріне жатқызу үшін негіз болып табылады: </w:t>
      </w:r>
    </w:p>
    <w:p>
      <w:pPr>
        <w:spacing w:after="0"/>
        <w:ind w:left="0"/>
        <w:jc w:val="both"/>
      </w:pPr>
      <w:r>
        <w:rPr>
          <w:rFonts w:ascii="Times New Roman"/>
          <w:b w:val="false"/>
          <w:i w:val="false"/>
          <w:color w:val="000000"/>
          <w:sz w:val="28"/>
        </w:rPr>
        <w:t>
      1) жоғары тәуекел дәрежесі – тәуекел дәрежесінің көрсеткіші 71-ден 100-ді қоса алғанға дейінгі болған кезде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2) орташа тәуекел дәрежесі – тәуекел дәрежесінің көрсеткіші 30-да 70-ті қоса алғанға дейін болған кезде және оған қатысты біліктілік талаптарына сәйкестігіне тексеру жүргізіледі, бірақ ең көбі екі жылда бір рет;</w:t>
      </w:r>
    </w:p>
    <w:p>
      <w:pPr>
        <w:spacing w:after="0"/>
        <w:ind w:left="0"/>
        <w:jc w:val="both"/>
      </w:pPr>
      <w:r>
        <w:rPr>
          <w:rFonts w:ascii="Times New Roman"/>
          <w:b w:val="false"/>
          <w:i w:val="false"/>
          <w:color w:val="000000"/>
          <w:sz w:val="28"/>
        </w:rPr>
        <w:t>
      3) төмен тәуекел дәрежесі – тәуекел дәрежесінің көрсеткіші 0-ден 30-ды қоса алғанға дейінгі болған кезде және оған қатысты бақылау субъектісіне (объектісіне) бару арқылы профилактикалық бақылау жүргізілмейді.</w:t>
      </w:r>
    </w:p>
    <w:p>
      <w:pPr>
        <w:spacing w:after="0"/>
        <w:ind w:left="0"/>
        <w:jc w:val="both"/>
      </w:pPr>
      <w:r>
        <w:rPr>
          <w:rFonts w:ascii="Times New Roman"/>
          <w:b w:val="false"/>
          <w:i w:val="false"/>
          <w:color w:val="000000"/>
          <w:sz w:val="28"/>
        </w:rPr>
        <w:t>
      Қолданылатын ақпарат көздерінің басымдығын және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xi – субъективті өлшемшарт көрсеткіші; </w:t>
      </w:r>
    </w:p>
    <w:p>
      <w:pPr>
        <w:spacing w:after="0"/>
        <w:ind w:left="0"/>
        <w:jc w:val="both"/>
      </w:pPr>
      <w:r>
        <w:rPr>
          <w:rFonts w:ascii="Times New Roman"/>
          <w:b w:val="false"/>
          <w:i w:val="false"/>
          <w:color w:val="000000"/>
          <w:sz w:val="28"/>
        </w:rPr>
        <w:t xml:space="preserve">
      wi – xi субъективті өлшемшарт көрсеткішінің үлес салмағы; </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971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xml:space="preserve">
      Көмірсутектер саласындағы жұмыстар мен көрсетілетін қызметтерге лицензия алған лицензиаттарға қатысты біліктілік талаптарына сәйкестікке қойылатын талаптардың бұзұшылық дәрежесі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жүргізудің жиілігін жоғары тәуекел дәрежесіне жатқызылған бақылау субъектісіне (объектісіне) қатысты бақылау органы, бірақ ең көбі жылына бір рет айкындайды.</w:t>
      </w:r>
    </w:p>
    <w:p>
      <w:pPr>
        <w:spacing w:after="0"/>
        <w:ind w:left="0"/>
        <w:jc w:val="both"/>
      </w:pPr>
      <w:r>
        <w:rPr>
          <w:rFonts w:ascii="Times New Roman"/>
          <w:b w:val="false"/>
          <w:i w:val="false"/>
          <w:color w:val="000000"/>
          <w:sz w:val="28"/>
        </w:rPr>
        <w:t>
      Алынатын мәліметтер талдауы және көрсеткіштер бойынша бағалау есепті жылғы 1 қарашадан 15 желтоқсанға дейінгі кезеңде жылына бір рет жүргізіледі.</w:t>
      </w:r>
    </w:p>
    <w:p>
      <w:pPr>
        <w:spacing w:after="0"/>
        <w:ind w:left="0"/>
        <w:jc w:val="both"/>
      </w:pPr>
      <w:r>
        <w:rPr>
          <w:rFonts w:ascii="Times New Roman"/>
          <w:b w:val="false"/>
          <w:i w:val="false"/>
          <w:color w:val="000000"/>
          <w:sz w:val="28"/>
        </w:rPr>
        <w:t>
      Егер бақылау субъектісіне (объектісіне) қатысты бұрын біліктілік талаптарына сәйкестігіне тексеру жүргізілген болса, соңғы біліктілік талаптарға сәйкестігіне тексерудің аяқталу күнінен кейінгі күннен бастап жүргізілетін талдаудың басталуына дейінгі кезең талданатын кезең болып табылады.</w:t>
      </w:r>
    </w:p>
    <w:p>
      <w:pPr>
        <w:spacing w:after="0"/>
        <w:ind w:left="0"/>
        <w:jc w:val="both"/>
      </w:pPr>
      <w:r>
        <w:rPr>
          <w:rFonts w:ascii="Times New Roman"/>
          <w:b w:val="false"/>
          <w:i w:val="false"/>
          <w:color w:val="000000"/>
          <w:sz w:val="28"/>
        </w:rPr>
        <w:t xml:space="preserve">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құрылатын бақылау субъектісіне (объектісіне) бару арқылы профилактикалық бақылаудың жартыжылдық тізімдері негізінде жүргізіледі.</w:t>
      </w:r>
    </w:p>
    <w:p>
      <w:pPr>
        <w:spacing w:after="0"/>
        <w:ind w:left="0"/>
        <w:jc w:val="both"/>
      </w:pPr>
      <w:r>
        <w:rPr>
          <w:rFonts w:ascii="Times New Roman"/>
          <w:b w:val="false"/>
          <w:i w:val="false"/>
          <w:color w:val="000000"/>
          <w:sz w:val="28"/>
        </w:rPr>
        <w:t>
      Біліктілік талаптарына сәйкестігіне тексеру графиктері субъективті өлшемшарттар бойынша ең жоғары тәуекел дәрежесі көрсеткіші бар бақылау субъектілерінің басымдығын ескере отырып жасалады.</w:t>
      </w:r>
    </w:p>
    <w:p>
      <w:pPr>
        <w:spacing w:after="0"/>
        <w:ind w:left="0"/>
        <w:jc w:val="both"/>
      </w:pPr>
      <w:r>
        <w:rPr>
          <w:rFonts w:ascii="Times New Roman"/>
          <w:b w:val="false"/>
          <w:i w:val="false"/>
          <w:color w:val="000000"/>
          <w:sz w:val="28"/>
        </w:rPr>
        <w:t>
      Біліктілік талаптарына сәйкестігіне тексеру біліктілік талаптарына сәйкестігіне тексерудің жылдық графигі негізінде жүргізіледі.";</w:t>
      </w:r>
    </w:p>
    <w:bookmarkStart w:name="z9" w:id="2"/>
    <w:p>
      <w:pPr>
        <w:spacing w:after="0"/>
        <w:ind w:left="0"/>
        <w:jc w:val="both"/>
      </w:pPr>
      <w:r>
        <w:rPr>
          <w:rFonts w:ascii="Times New Roman"/>
          <w:b w:val="false"/>
          <w:i w:val="false"/>
          <w:color w:val="000000"/>
          <w:sz w:val="28"/>
        </w:rPr>
        <w:t xml:space="preserve">
      көрсетілген бірлескен бұйрықпен бекітілген Көмірсутектер саласындағы біліктілік талаптарына сәйкестігіне бақылау саласындағы тәуекел дәрежесін бағалау өлшемшарттарына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5"/>
    <w:bookmarkStart w:name="z13" w:id="6"/>
    <w:p>
      <w:pPr>
        <w:spacing w:after="0"/>
        <w:ind w:left="0"/>
        <w:jc w:val="both"/>
      </w:pPr>
      <w:r>
        <w:rPr>
          <w:rFonts w:ascii="Times New Roman"/>
          <w:b w:val="false"/>
          <w:i w:val="false"/>
          <w:color w:val="000000"/>
          <w:sz w:val="28"/>
        </w:rPr>
        <w:t xml:space="preserve">
      3) осы бірлескен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7"/>
    <w:bookmarkStart w:name="z15"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 маусымдағы</w:t>
            </w:r>
            <w:r>
              <w:br/>
            </w:r>
            <w:r>
              <w:rPr>
                <w:rFonts w:ascii="Times New Roman"/>
                <w:b w:val="false"/>
                <w:i w:val="false"/>
                <w:color w:val="000000"/>
                <w:sz w:val="20"/>
              </w:rPr>
              <w:t xml:space="preserve">№ 94 мен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 </w:t>
            </w:r>
            <w:r>
              <w:br/>
            </w:r>
            <w:r>
              <w:rPr>
                <w:rFonts w:ascii="Times New Roman"/>
                <w:b w:val="false"/>
                <w:i w:val="false"/>
                <w:color w:val="000000"/>
                <w:sz w:val="20"/>
              </w:rPr>
              <w:t xml:space="preserve">2023 жылғы 31 мамырдағы </w:t>
            </w:r>
            <w:r>
              <w:br/>
            </w:r>
            <w:r>
              <w:rPr>
                <w:rFonts w:ascii="Times New Roman"/>
                <w:b w:val="false"/>
                <w:i w:val="false"/>
                <w:color w:val="000000"/>
                <w:sz w:val="20"/>
              </w:rPr>
              <w:t>№ 204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біліктілік талаптарына </w:t>
            </w:r>
            <w:r>
              <w:br/>
            </w:r>
            <w:r>
              <w:rPr>
                <w:rFonts w:ascii="Times New Roman"/>
                <w:b w:val="false"/>
                <w:i w:val="false"/>
                <w:color w:val="000000"/>
                <w:sz w:val="20"/>
              </w:rPr>
              <w:t xml:space="preserve">сәйкестігіне бақылау </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"Көмірсутектерді барлау және өндіру кезінде құрлықта, теңізде және ішкі су айдындарында ұңғымаларды бұрғылау"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бұрғылау қондырғысының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бұрғылау сорғысының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шығарындыға қарсы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бұрғылау ерітіндісін дайындау, циркуляциялау және тазалау торабының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біліктілік талаптарына </w:t>
            </w:r>
            <w:r>
              <w:br/>
            </w:r>
            <w:r>
              <w:rPr>
                <w:rFonts w:ascii="Times New Roman"/>
                <w:b w:val="false"/>
                <w:i w:val="false"/>
                <w:color w:val="000000"/>
                <w:sz w:val="20"/>
              </w:rPr>
              <w:t xml:space="preserve">сәйкестігіне бақылау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"Көмірсутектер кен орындарына арналған базалық жобалау құжаттарын жасау және көмірсутектер кен орындарын игеруді талдау"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ғимараттың немесе тұрғын емес үй-жайдың (кеңсенің)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кен шоғырларының құрылымын, стратиграфиясын және қасиеттерін сипаттауды көздейтін мұнай және газ кен орындарын геологиялық модельдеу бойынша көмірсутектер саласында жобалауға арналған лицензиялық бағдарламалық қамтылымның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көмірсутектерді өндіру көлемін әзірлеу және болжау жүйесін жобалау үшін мұнай және газ қабаттарын (кен шоғырларын) гидродинамикалық модельдеу бойынша көмірсутектер саласында жобалауға арналған лицензиялық бағдарламалық қамтылымның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мамандандырылған техниканың және (немесе) жабдықтың (компьютерлер, принтер, плоттер (суреттерді, схемаларды, күрделі сызбаларды, карталарды және көлемі A0 немесе калькаға дейінгі қағаздағы басқа да графикалық ақпаратты үлкен дәлдікпен автоматты түрде сызуға арналған құрылғы)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кәсіпшілік зерттеулерге арналған жобалау үшін пайдаланылатын ұңғыма аспаптарының (тереңдік сынамаларды іріктеу, қабаттық қысым мен температураны өлшеу)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ұңғымадағы түсіру-көтеру операцияларына арналған жобалау үшін пайдаланылатын қондырғының (шығырдың)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біліктілік талаптарына </w:t>
            </w:r>
            <w:r>
              <w:br/>
            </w:r>
            <w:r>
              <w:rPr>
                <w:rFonts w:ascii="Times New Roman"/>
                <w:b w:val="false"/>
                <w:i w:val="false"/>
                <w:color w:val="000000"/>
                <w:sz w:val="20"/>
              </w:rPr>
              <w:t xml:space="preserve">сәйкестігіне бақылау </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"Көмірсутектер кен орындарына арналған техникалық жобалау құжаттарын жасау"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ғимарат немесе тұрғын емес үй-жайдың (кеңсенің)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ұңғымаларды бұрғылауды жобалау (ұңғымаларды өткізу, қысым градиенттерін және гидродинамикалық сипаттамаларды есептеу, бұрғылау және шегендеу бағаналарын есептеу, цементтеу процесін есептеу) бойынша көмірсутектер саласында жобалауға арналған лицензиялық бағдарламалық қамтылымның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мамандандырылған техниканың және (немесе) жабдықтың (компьютерлер, принтер, плоттер (суреттерді, схемаларды, күрделі сызбаларды, карталарды және көлемі A0 немесе калькаға дейінгі қағаздағы басқа да графикалық ақпаратты үлкен дәлдікпен автоматты түрде сызуға арналған құрылғы)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біліктілік талаптарына </w:t>
            </w:r>
            <w:r>
              <w:br/>
            </w:r>
            <w:r>
              <w:rPr>
                <w:rFonts w:ascii="Times New Roman"/>
                <w:b w:val="false"/>
                <w:i w:val="false"/>
                <w:color w:val="000000"/>
                <w:sz w:val="20"/>
              </w:rPr>
              <w:t xml:space="preserve">сәйкестігіне бақылау </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"Теңіздегі көмірсутектер кен орындарында төгілуді болғызбау және жою жөніндегі жұмыстар"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кемінде екі теңізде мұнай жинау құрылғысының бар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кемінде екі қалқымалы резервуардың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кемінде екі бондық бөгеттің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біліктілік талаптарына </w:t>
            </w:r>
            <w:r>
              <w:br/>
            </w:r>
            <w:r>
              <w:rPr>
                <w:rFonts w:ascii="Times New Roman"/>
                <w:b w:val="false"/>
                <w:i w:val="false"/>
                <w:color w:val="000000"/>
                <w:sz w:val="20"/>
              </w:rPr>
              <w:t xml:space="preserve">сәйкестігіне бақылау </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30" w:id="10"/>
    <w:p>
      <w:pPr>
        <w:spacing w:after="0"/>
        <w:ind w:left="0"/>
        <w:jc w:val="left"/>
      </w:pPr>
      <w:r>
        <w:rPr>
          <w:rFonts w:ascii="Times New Roman"/>
          <w:b/>
          <w:i w:val="false"/>
          <w:color w:val="000000"/>
        </w:rPr>
        <w:t xml:space="preserve"> "Көмірсутектерді барлау және өндіру кезіндегі геофизикалық жұмыстар"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тереңдік сынамаларды іріктеу үшін ұңғымалық аспаптардың және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қабаттық қысымды өлшеу үшін ұңғымалық аспаптардың және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температураны өлшеу үшін ұңғымалық аспаптардың және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акустикалық каротаж аспаптарының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электрлік каротаж аспаптарының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радиоактивті каротаж аспаптарының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біліктілік талаптарына</w:t>
            </w:r>
            <w:r>
              <w:br/>
            </w:r>
            <w:r>
              <w:rPr>
                <w:rFonts w:ascii="Times New Roman"/>
                <w:b w:val="false"/>
                <w:i w:val="false"/>
                <w:color w:val="000000"/>
                <w:sz w:val="20"/>
              </w:rPr>
              <w:t xml:space="preserve">сәйкестігіне бақылау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"Көмірсутектерді барлау және өндіру кезінде ұңғымаларды жер астында жөндеу, сынау, игеру, сынамалау, консервациялау, жою"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ұңғымаларды жөндеу, сынау, игеру, сынамалау, консервациялау, жою жөніндегі көтергіш қондырғының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шығарындыға қарсы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сорғы агрегатының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ыдыстың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біліктілік талаптарына </w:t>
            </w:r>
            <w:r>
              <w:br/>
            </w:r>
            <w:r>
              <w:rPr>
                <w:rFonts w:ascii="Times New Roman"/>
                <w:b w:val="false"/>
                <w:i w:val="false"/>
                <w:color w:val="000000"/>
                <w:sz w:val="20"/>
              </w:rPr>
              <w:t xml:space="preserve">сәйкестігіне бақылау </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bookmarkStart w:name="z36" w:id="11"/>
    <w:p>
      <w:pPr>
        <w:spacing w:after="0"/>
        <w:ind w:left="0"/>
        <w:jc w:val="left"/>
      </w:pPr>
      <w:r>
        <w:rPr>
          <w:rFonts w:ascii="Times New Roman"/>
          <w:b/>
          <w:i w:val="false"/>
          <w:color w:val="000000"/>
        </w:rPr>
        <w:t xml:space="preserve"> "Көмірсутектерді барлау және өндіру кезінде ұңғымаларды цементтеу"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кемінде екі мамандандырылған цементтеу агрегаттың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ыдыстың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біліктілік талаптарына </w:t>
            </w:r>
            <w:r>
              <w:br/>
            </w:r>
            <w:r>
              <w:rPr>
                <w:rFonts w:ascii="Times New Roman"/>
                <w:b w:val="false"/>
                <w:i w:val="false"/>
                <w:color w:val="000000"/>
                <w:sz w:val="20"/>
              </w:rPr>
              <w:t xml:space="preserve">сәйкестігіне бақылау </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8-қосымша</w:t>
            </w:r>
          </w:p>
        </w:tc>
      </w:tr>
    </w:tbl>
    <w:bookmarkStart w:name="z39" w:id="12"/>
    <w:p>
      <w:pPr>
        <w:spacing w:after="0"/>
        <w:ind w:left="0"/>
        <w:jc w:val="left"/>
      </w:pPr>
      <w:r>
        <w:rPr>
          <w:rFonts w:ascii="Times New Roman"/>
          <w:b/>
          <w:i w:val="false"/>
          <w:color w:val="000000"/>
        </w:rPr>
        <w:t xml:space="preserve"> "Көмірсутектерді барлау және өндіру кезіндегі кәсіпшілік зерттеулер"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тереңдік сынамаларды іріктеу үшін ұңғымалық аспаптардың және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қабаттық қысымды өлшеу үшін ұңғымалық аспаптардың және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температураны өлшеу үшін ұңғымалық аспаптардың және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түсіру-көтеру операцияларына арналған қондырғының (шығырдың)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біліктілік талаптарына</w:t>
            </w:r>
            <w:r>
              <w:br/>
            </w:r>
            <w:r>
              <w:rPr>
                <w:rFonts w:ascii="Times New Roman"/>
                <w:b w:val="false"/>
                <w:i w:val="false"/>
                <w:color w:val="000000"/>
                <w:sz w:val="20"/>
              </w:rPr>
              <w:t xml:space="preserve">сәйкестігіне бақылау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"Көмірсутектерді барлау және өндіру кезіндегі сейсмикалық барлау жұмыстары"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сейсмикалық станцияның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сейсмикалық барлау жабдықтарының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біліктілік талаптарына </w:t>
            </w:r>
            <w:r>
              <w:br/>
            </w:r>
            <w:r>
              <w:rPr>
                <w:rFonts w:ascii="Times New Roman"/>
                <w:b w:val="false"/>
                <w:i w:val="false"/>
                <w:color w:val="000000"/>
                <w:sz w:val="20"/>
              </w:rPr>
              <w:t xml:space="preserve">сәйкестігіне бақылау </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"Көмірсутектерді барлау және өндіру кезінде ұңғымалардағы атқылау-жару жұмыстары"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 жарылғыш заттарды және олардың негізінде жасалған бұйымдарды үнемі қолдануға рұқсаты бар ұйыммен жасалған шарттың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перфорациялық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қойманың немесе жарылғыш заттарды сақтауға арналған қоймасы бар мамандандырылған ұйыммен шарттың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біліктілік талаптарына </w:t>
            </w:r>
            <w:r>
              <w:br/>
            </w:r>
            <w:r>
              <w:rPr>
                <w:rFonts w:ascii="Times New Roman"/>
                <w:b w:val="false"/>
                <w:i w:val="false"/>
                <w:color w:val="000000"/>
                <w:sz w:val="20"/>
              </w:rPr>
              <w:t xml:space="preserve">сәйкестігіне бақылау </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"Көмірсутектерді барлау және өндіру кезінде мұнай қабаттарының мұнай беруін арттыру және ұңғымалардың өнімділігін ұлғайту"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кемінде екі сорғы агрегаттың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біліктілік талаптарына </w:t>
            </w:r>
            <w:r>
              <w:br/>
            </w:r>
            <w:r>
              <w:rPr>
                <w:rFonts w:ascii="Times New Roman"/>
                <w:b w:val="false"/>
                <w:i w:val="false"/>
                <w:color w:val="000000"/>
                <w:sz w:val="20"/>
              </w:rPr>
              <w:t xml:space="preserve">сәйкестігіне бақылау </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"Мұнай-газ-химия өндірістерін пайдалану"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негізгі технологиялық қондырғылар мен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мұнай-химия өндірісі үшін қажетті қоймалардың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Қазақстан Республикасының заңнамасында белгіленген тәртіпте аккредиттелген зертхананың немесе өнімнің стандарттарға, нормалар мен техникалық шарттарға сәйкестігін бақылау бойынша аккредиттелген зертханамен қызмет көрсету шартының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p>
            <w:pPr>
              <w:spacing w:after="20"/>
              <w:ind w:left="20"/>
              <w:jc w:val="both"/>
            </w:pPr>
            <w:r>
              <w:rPr>
                <w:rFonts w:ascii="Times New Roman"/>
                <w:b w:val="false"/>
                <w:i w:val="false"/>
                <w:color w:val="000000"/>
                <w:sz w:val="20"/>
              </w:rPr>
              <w:t>
5) технологиялық процесті және берілген сападағы өнімдерді шығаруды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біліктілік талаптарына</w:t>
            </w:r>
            <w:r>
              <w:br/>
            </w:r>
            <w:r>
              <w:rPr>
                <w:rFonts w:ascii="Times New Roman"/>
                <w:b w:val="false"/>
                <w:i w:val="false"/>
                <w:color w:val="000000"/>
                <w:sz w:val="20"/>
              </w:rPr>
              <w:t xml:space="preserve">сәйкестігіне бақылау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"Магистральдық құбыржолдарды пайдалану" қызметінің кіші түріне көмірсутектер саласындағы жұмыстар мен көрсетілетін қызметтерге лицензия алған лицензиаттарға қатысты талаптарды бұзушылық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магистральдық құбырдың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кіші түрінің мәлімделген жұмыстарын орындау үшін қажетті техникалық талаптарға байланысты пайдаланылатын магистральдық құбырды пайдалануды қамтамасыз ететін меншік құқығындағы немесе өзге де заңды негіздегі аспаптар мен жабдықтың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магистральдық құбырларды техникалық диагностикалау үшін диагностикалық аспаптардың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магистральдық құбырларға техникалық қызмет көрсету үшін бақылау-өлшеу аспаптарының, құралдар мен жабдықтардың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жабдықтар мен технологияларды пайдалана отырып, жұмыс істеп тұрған өндірістік объектілерді реконструкциялау, жаңғырту жөніндегі бекітілген бағдарламалардың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орындау жоспарларының (бағдарламаларының)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w:t>
            </w:r>
          </w:p>
          <w:p>
            <w:pPr>
              <w:spacing w:after="20"/>
              <w:ind w:left="20"/>
              <w:jc w:val="both"/>
            </w:pPr>
            <w:r>
              <w:rPr>
                <w:rFonts w:ascii="Times New Roman"/>
                <w:b w:val="false"/>
                <w:i w:val="false"/>
                <w:color w:val="000000"/>
                <w:sz w:val="20"/>
              </w:rPr>
              <w:t>
1) қондырғыларды, машиналарды, механизмдерді, аспаптарды, жабдықтарды тиісінше пайдалану және оларға техникалық қызмет көрсету;</w:t>
            </w:r>
          </w:p>
          <w:p>
            <w:pPr>
              <w:spacing w:after="20"/>
              <w:ind w:left="20"/>
              <w:jc w:val="both"/>
            </w:pPr>
            <w:r>
              <w:rPr>
                <w:rFonts w:ascii="Times New Roman"/>
                <w:b w:val="false"/>
                <w:i w:val="false"/>
                <w:color w:val="000000"/>
                <w:sz w:val="20"/>
              </w:rPr>
              <w:t>
2) еңбек қауіпсіздігі және өнеркәсіптік қауіпсіздік;</w:t>
            </w:r>
          </w:p>
          <w:p>
            <w:pPr>
              <w:spacing w:after="20"/>
              <w:ind w:left="20"/>
              <w:jc w:val="both"/>
            </w:pPr>
            <w:r>
              <w:rPr>
                <w:rFonts w:ascii="Times New Roman"/>
                <w:b w:val="false"/>
                <w:i w:val="false"/>
                <w:color w:val="000000"/>
                <w:sz w:val="20"/>
              </w:rPr>
              <w:t>
3) қоршаған ортаны қорғау;</w:t>
            </w:r>
          </w:p>
          <w:p>
            <w:pPr>
              <w:spacing w:after="20"/>
              <w:ind w:left="20"/>
              <w:jc w:val="both"/>
            </w:pPr>
            <w:r>
              <w:rPr>
                <w:rFonts w:ascii="Times New Roman"/>
                <w:b w:val="false"/>
                <w:i w:val="false"/>
                <w:color w:val="000000"/>
                <w:sz w:val="20"/>
              </w:rPr>
              <w:t>
4) метрологиялық бақылау;</w:t>
            </w:r>
          </w:p>
          <w:p>
            <w:pPr>
              <w:spacing w:after="20"/>
              <w:ind w:left="20"/>
              <w:jc w:val="both"/>
            </w:pPr>
            <w:r>
              <w:rPr>
                <w:rFonts w:ascii="Times New Roman"/>
                <w:b w:val="false"/>
                <w:i w:val="false"/>
                <w:color w:val="000000"/>
                <w:sz w:val="20"/>
              </w:rPr>
              <w:t>
5) магистральдық құбырларды пайдаланудың технологиялық процесін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w:t>
            </w:r>
          </w:p>
          <w:p>
            <w:pPr>
              <w:spacing w:after="20"/>
              <w:ind w:left="20"/>
              <w:jc w:val="both"/>
            </w:pPr>
            <w:r>
              <w:rPr>
                <w:rFonts w:ascii="Times New Roman"/>
                <w:b w:val="false"/>
                <w:i w:val="false"/>
                <w:color w:val="000000"/>
                <w:sz w:val="20"/>
              </w:rPr>
              <w:t>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w:t>
            </w:r>
          </w:p>
          <w:p>
            <w:pPr>
              <w:spacing w:after="20"/>
              <w:ind w:left="20"/>
              <w:jc w:val="both"/>
            </w:pPr>
            <w:r>
              <w:rPr>
                <w:rFonts w:ascii="Times New Roman"/>
                <w:b w:val="false"/>
                <w:i w:val="false"/>
                <w:color w:val="000000"/>
                <w:sz w:val="20"/>
              </w:rPr>
              <w:t>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