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6a076" w14:textId="c06a0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пошта операторы үшін пруденциялық нормативтерді белгілеу туралы" Қазақстан Республикасы Ұлттық Банкі Басқармасының 2016 жылғы 26 желтоқсандағы № 307 қаулысына өзгеріс пен толықтыру енгізу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2023 жылғы 5 мамырдағы № 22 қаулысы. Қазақстан Республикасының Әділет министрлігінде 2023 жылғы 17 мамырда № 32499 болып тіркелді</w:t>
      </w:r>
    </w:p>
    <w:p>
      <w:pPr>
        <w:spacing w:after="0"/>
        <w:ind w:left="0"/>
        <w:jc w:val="both"/>
      </w:pPr>
      <w:bookmarkStart w:name="z1" w:id="0"/>
      <w:r>
        <w:rPr>
          <w:rFonts w:ascii="Times New Roman"/>
          <w:b w:val="false"/>
          <w:i w:val="false"/>
          <w:color w:val="000000"/>
          <w:sz w:val="28"/>
        </w:rPr>
        <w:t>
      Қазақстан Республикасы Қаржы нарығын реттеу және дамыту агенттігінің Басқармасы ҚАУЛЫ ЕТЕДІ:</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"Ұлттық пошта операторы үшін пруденциялық нормативтерді белгілеу туралы" Қазақстан Республикасы Ұлттық Банкі Басқармасының 2016 жылғы 26 желтоқсандағы № 307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14786 болып тіркелген) мынадай өзгеріс және толықтыру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 w:id="1"/>
    <w:p>
      <w:pPr>
        <w:spacing w:after="0"/>
        <w:ind w:left="0"/>
        <w:jc w:val="both"/>
      </w:pPr>
      <w:r>
        <w:rPr>
          <w:rFonts w:ascii="Times New Roman"/>
          <w:b w:val="false"/>
          <w:i w:val="false"/>
          <w:color w:val="000000"/>
          <w:sz w:val="28"/>
        </w:rPr>
        <w:t>
      "1. Ұлттық пошта операторы үшін мынадай пруденциялық нормативтер белгіленсін:</w:t>
      </w:r>
    </w:p>
    <w:bookmarkEnd w:id="1"/>
    <w:bookmarkStart w:name="z5" w:id="2"/>
    <w:p>
      <w:pPr>
        <w:spacing w:after="0"/>
        <w:ind w:left="0"/>
        <w:jc w:val="both"/>
      </w:pPr>
      <w:r>
        <w:rPr>
          <w:rFonts w:ascii="Times New Roman"/>
          <w:b w:val="false"/>
          <w:i w:val="false"/>
          <w:color w:val="000000"/>
          <w:sz w:val="28"/>
        </w:rPr>
        <w:t>
      1) меншікті қаражат жеткіліктілігінің коэффициенті, оның мәні есепті айдың соңында кемінде 0,12 құрайды.</w:t>
      </w:r>
    </w:p>
    <w:bookmarkEnd w:id="2"/>
    <w:p>
      <w:pPr>
        <w:spacing w:after="0"/>
        <w:ind w:left="0"/>
        <w:jc w:val="both"/>
      </w:pPr>
      <w:r>
        <w:rPr>
          <w:rFonts w:ascii="Times New Roman"/>
          <w:b w:val="false"/>
          <w:i w:val="false"/>
          <w:color w:val="000000"/>
          <w:sz w:val="28"/>
        </w:rPr>
        <w:t>
      Меншікті қаражат жеткіліктілігінің коэффициенті Ұлттық пошта операторының меншікті капиталының оның кредиттік тәуекел дәрежесі бойынша сараланатын активтерінің сомасына қатынасы ретінде есептеледі.</w:t>
      </w:r>
    </w:p>
    <w:p>
      <w:pPr>
        <w:spacing w:after="0"/>
        <w:ind w:left="0"/>
        <w:jc w:val="both"/>
      </w:pPr>
      <w:r>
        <w:rPr>
          <w:rFonts w:ascii="Times New Roman"/>
          <w:b w:val="false"/>
          <w:i w:val="false"/>
          <w:color w:val="000000"/>
          <w:sz w:val="28"/>
        </w:rPr>
        <w:t xml:space="preserve">
      Кредиттік тәуекел дәрежесі бойынша сараланатын активтерді есептеу осы қаулыға 1-1-қосымшаға сәйкес Салымдардың кредиттiк тәуекел дәрежесi бойынша сараланған Ұлттық пошта операторы активтерiнің кестесiне сәйкес жүргізіледі; </w:t>
      </w:r>
    </w:p>
    <w:bookmarkStart w:name="z6" w:id="3"/>
    <w:p>
      <w:pPr>
        <w:spacing w:after="0"/>
        <w:ind w:left="0"/>
        <w:jc w:val="both"/>
      </w:pPr>
      <w:r>
        <w:rPr>
          <w:rFonts w:ascii="Times New Roman"/>
          <w:b w:val="false"/>
          <w:i w:val="false"/>
          <w:color w:val="000000"/>
          <w:sz w:val="28"/>
        </w:rPr>
        <w:t>
      2) өтімділік коэффициенті, оның мәні есепті айдың соңында кемінде 0,30 құрайды.</w:t>
      </w:r>
    </w:p>
    <w:bookmarkEnd w:id="3"/>
    <w:p>
      <w:pPr>
        <w:spacing w:after="0"/>
        <w:ind w:left="0"/>
        <w:jc w:val="both"/>
      </w:pPr>
      <w:r>
        <w:rPr>
          <w:rFonts w:ascii="Times New Roman"/>
          <w:b w:val="false"/>
          <w:i w:val="false"/>
          <w:color w:val="000000"/>
          <w:sz w:val="28"/>
        </w:rPr>
        <w:t>
      Өтімділік коэффициенті өтімділігі жоғары активтер мөлшерінің талап етілгенге дейінгі міндеттемелердің шамасына қатынасы ретінде есептеледі.".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1-1-қосымшамен толықтырылсын.</w:t>
      </w:r>
    </w:p>
    <w:bookmarkStart w:name="z8" w:id="4"/>
    <w:p>
      <w:pPr>
        <w:spacing w:after="0"/>
        <w:ind w:left="0"/>
        <w:jc w:val="both"/>
      </w:pPr>
      <w:r>
        <w:rPr>
          <w:rFonts w:ascii="Times New Roman"/>
          <w:b w:val="false"/>
          <w:i w:val="false"/>
          <w:color w:val="000000"/>
          <w:sz w:val="28"/>
        </w:rPr>
        <w:t>
      2. Қаржы ұйымдарының әдіснамасы және пруденциялық реттеу департаменті Қазақстан Республикасының заңнамасында белгіленген тәртіппен:</w:t>
      </w:r>
    </w:p>
    <w:bookmarkEnd w:id="4"/>
    <w:bookmarkStart w:name="z9" w:id="5"/>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5"/>
    <w:bookmarkStart w:name="z10" w:id="6"/>
    <w:p>
      <w:pPr>
        <w:spacing w:after="0"/>
        <w:ind w:left="0"/>
        <w:jc w:val="both"/>
      </w:pPr>
      <w:r>
        <w:rPr>
          <w:rFonts w:ascii="Times New Roman"/>
          <w:b w:val="false"/>
          <w:i w:val="false"/>
          <w:color w:val="000000"/>
          <w:sz w:val="28"/>
        </w:rPr>
        <w:t xml:space="preserve">
      2) осы қаулыны ресми жарияланғаннан кейін Қазақстан Республикасы Қаржы нарығын реттеу және дамыту агенттігінің ресми интернет-ресурсына орналастыруды; </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Заң департаментіне осы тармақтың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іс-шараның орындалуы туралы мәліметтерді ұсынуды қамтамасыз етсін. </w:t>
      </w:r>
    </w:p>
    <w:bookmarkStart w:name="z12" w:id="7"/>
    <w:p>
      <w:pPr>
        <w:spacing w:after="0"/>
        <w:ind w:left="0"/>
        <w:jc w:val="both"/>
      </w:pPr>
      <w:r>
        <w:rPr>
          <w:rFonts w:ascii="Times New Roman"/>
          <w:b w:val="false"/>
          <w:i w:val="false"/>
          <w:color w:val="000000"/>
          <w:sz w:val="28"/>
        </w:rPr>
        <w:t>
      3.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7"/>
    <w:bookmarkStart w:name="z13" w:id="8"/>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нарығын реттеу және дамыту</w:t>
            </w:r>
          </w:p>
          <w:p>
            <w:pPr>
              <w:spacing w:after="20"/>
              <w:ind w:left="20"/>
              <w:jc w:val="both"/>
            </w:pPr>
            <w:r>
              <w:rPr>
                <w:rFonts w:ascii="Times New Roman"/>
                <w:b w:val="false"/>
                <w:i/>
                <w:color w:val="000000"/>
                <w:sz w:val="20"/>
              </w:rPr>
              <w:t>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Стратегиялық жоспарлау және реформалар</w:t>
      </w:r>
    </w:p>
    <w:p>
      <w:pPr>
        <w:spacing w:after="0"/>
        <w:ind w:left="0"/>
        <w:jc w:val="both"/>
      </w:pPr>
      <w:r>
        <w:rPr>
          <w:rFonts w:ascii="Times New Roman"/>
          <w:b w:val="false"/>
          <w:i w:val="false"/>
          <w:color w:val="000000"/>
          <w:sz w:val="28"/>
        </w:rPr>
        <w:t>
      Агенттігінің Ұлттық статистика бюросы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нарығын ретте</w:t>
            </w:r>
            <w:r>
              <w:br/>
            </w:r>
            <w:r>
              <w:rPr>
                <w:rFonts w:ascii="Times New Roman"/>
                <w:b w:val="false"/>
                <w:i w:val="false"/>
                <w:color w:val="000000"/>
                <w:sz w:val="20"/>
              </w:rPr>
              <w:t>және дамыту агенттігі</w:t>
            </w:r>
            <w:r>
              <w:br/>
            </w:r>
            <w:r>
              <w:rPr>
                <w:rFonts w:ascii="Times New Roman"/>
                <w:b w:val="false"/>
                <w:i w:val="false"/>
                <w:color w:val="000000"/>
                <w:sz w:val="20"/>
              </w:rPr>
              <w:t>Басқармасының</w:t>
            </w:r>
            <w:r>
              <w:br/>
            </w:r>
            <w:r>
              <w:rPr>
                <w:rFonts w:ascii="Times New Roman"/>
                <w:b w:val="false"/>
                <w:i w:val="false"/>
                <w:color w:val="000000"/>
                <w:sz w:val="20"/>
              </w:rPr>
              <w:t>2023 жылғы 5 мамырдағы</w:t>
            </w:r>
            <w:r>
              <w:br/>
            </w:r>
            <w:r>
              <w:rPr>
                <w:rFonts w:ascii="Times New Roman"/>
                <w:b w:val="false"/>
                <w:i w:val="false"/>
                <w:color w:val="000000"/>
                <w:sz w:val="20"/>
              </w:rPr>
              <w:t>№ 22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w:t>
            </w:r>
            <w:r>
              <w:br/>
            </w:r>
            <w:r>
              <w:rPr>
                <w:rFonts w:ascii="Times New Roman"/>
                <w:b w:val="false"/>
                <w:i w:val="false"/>
                <w:color w:val="000000"/>
                <w:sz w:val="20"/>
              </w:rPr>
              <w:t>Басқармасының</w:t>
            </w:r>
            <w:r>
              <w:br/>
            </w:r>
            <w:r>
              <w:rPr>
                <w:rFonts w:ascii="Times New Roman"/>
                <w:b w:val="false"/>
                <w:i w:val="false"/>
                <w:color w:val="000000"/>
                <w:sz w:val="20"/>
              </w:rPr>
              <w:t>2016 жылғы 26 желтоқсандағы</w:t>
            </w:r>
            <w:r>
              <w:br/>
            </w:r>
            <w:r>
              <w:rPr>
                <w:rFonts w:ascii="Times New Roman"/>
                <w:b w:val="false"/>
                <w:i w:val="false"/>
                <w:color w:val="000000"/>
                <w:sz w:val="20"/>
              </w:rPr>
              <w:t>№ 307 қаулысына</w:t>
            </w:r>
            <w:r>
              <w:br/>
            </w:r>
            <w:r>
              <w:rPr>
                <w:rFonts w:ascii="Times New Roman"/>
                <w:b w:val="false"/>
                <w:i w:val="false"/>
                <w:color w:val="000000"/>
                <w:sz w:val="20"/>
              </w:rPr>
              <w:t>1-1-қосымша</w:t>
            </w:r>
          </w:p>
        </w:tc>
      </w:tr>
    </w:tbl>
    <w:bookmarkStart w:name="z15" w:id="9"/>
    <w:p>
      <w:pPr>
        <w:spacing w:after="0"/>
        <w:ind w:left="0"/>
        <w:jc w:val="left"/>
      </w:pPr>
      <w:r>
        <w:rPr>
          <w:rFonts w:ascii="Times New Roman"/>
          <w:b/>
          <w:i w:val="false"/>
          <w:color w:val="000000"/>
        </w:rPr>
        <w:t xml:space="preserve"> Ұлттық пошта операторының салымдардың кредиттік тәуекел дәрежесі бойынша сараланған активтерінің кестесі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Баптар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Тәуекел дәрежесі пайызбен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"AA-"-тен төмен емес тәуелсіз рейтингі немесе басқа рейтингтік агенттіктердің бірінің осыған ұқсас деңгейдегі рейтингі бар елдердің қолма-қол шетел валютасы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салымдар және Қазақстан Республикасының Ұлттық Банкіне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"AA-"-тен төмен емес тәуелсіз рейтингі немесе басқа рейтингтік агенттіктердің бірінің осыған ұқсас деңгейдегі рейтингі бар елдердің орталық банктеріндегі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"AA-"-тен төмен емес борыштық рейтингі немесе басқа рейтингтік агенттіктердің бірінің осыған ұқсас деңгейдегі рейтингі бар халықаралық қаржы ұйымдарындағы салымдар, Еуразия даму банкіндегі Қазақстан Республикасының ұлттық валютасымен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мен Қазақстан Республикасының Ұлттық Банкі шығарған Қазақстан Республикасының мемлекеттік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және Шымкент қалаларының жергілікті атқарушы органдары шығарған Қазақстан Республикасының мемлекеттік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рыногы туралы" Қазақстан Республикасының Заңына сәйкес "Қазақстанның Даму Банкі" акционерлік қоғамы, "Самұрық-Қазына" ұлттық әл-ауқат қоры", "Бәйтерек" ұлттық басқарушы холдингі", "Проблемалық кредиттер қоры" акционерлік қоғамдары, сондай-ақ Еуразия Даму Банкі шығарған және Қазақстан Республикасының ұлттық валютасымен номинирленген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қызметпен байланысты емес жеке тұлғалардың ипотекалық қарыздарын сатып алуды жүзеге асыратын, акцияларының 100 (жүз) пайызы Қазақстан Республикасының Ұлттық Банкке тиесілі заңды тұлға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"AA-"-тен төмен емес тәуелсіз рейтингі немесе басқа рейтингтік агенттіктердің бірінің осыған ұқсас деңгейдегі рейтингі бар шет мемлекеттердің орталық үкіметтері шығарған мемлекеттік мәртебесі бар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"AA-"-тен төмен емес борыштық рейтингі немесе басқа рейтингтік агенттіктердің бірінің осыған ұқсас деңгейдегі рейтингі бар халықаралық қаржы ұйымдары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"ВВВ"-ден төмен емес ұзақ мерзімді рейтингі немесе басқа рейтингтік агенттіктердің бірінің осыған ұқсас деңгейдегі рейтингі бар банктерге ашық корреспонденттік шоттар бойынша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"ВВВ"-ден төмен емес ұзақ мерзімді рейтингі немесе басқа рейтингтік агенттіктердің бірінің осыған ұқсас деңгейдегі рейтингі бар банктерге ашық ағымдағы шоттар бойынша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контрагенттің қатысуымен жасалған "кері РЕПО" операциясының нысанасы болып табылатын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І тобына енгізілген активтер бойынша есептелген сыйақы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агенттiгiнiң "АА-"-тен төмен тәуелсiз рейтингi немесе басқа рейтингтік агенттiктердiң бірiнiң осыған ұқсас деңгейдегі рейтингi бар елдердің және тиісті рейтингтік бағасы жоқ елдердің қолма-қол шетел валютасы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"А+"-тен "А-"-ке дейінгі тәуелсіз рейтингі немесе басқа рейтингтік агенттіктердің бірінің осыған ұқсас деңгейдегі рейтингі бар елдердің орталық банктеріндегі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"А+"-тен "А-"-ке дейінгі борыштық рейтингі немесе басқа рейтингтік агенттіктердің бірінің осыған ұқсас деңгейдегі рейтингі бар халықаралық қаржы ұйымдарындағы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"AА-" төмен емес борыштық рейтингі немесе басқа рейтингтік агенттіктердің бірінің осыған ұқсас деңгейдегі рейтингі бар ұйымдардағы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"А+"-тен "А-"-ке дейінгі тәуелсіз рейтингі немесе басқа рейтингтік агенттіктердің бірінің осыған ұқсас деңгейдегі рейтингі бар елдердің орталық үкіметтері шығарған, мемлекеттік мәртебесі бар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"А+"-тен "А-"-ке дейінгі борыштық рейтингі немесе басқа рейтингтік агенттіктердің бірінің осыған ұқсас деңгейдегі рейтингі бар халықаралық қаржы ұйымдары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және Шымкент қалаларының жергілікті атқарушы органдары шығарған мемлекеттік бағалы қағаздарды қоспағанда, Қазақстан Республикасының жергілікті атқарушы органдары шығарған мемлекеттік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"АА-"-тен төмен емес тәуелсіз рейтингі немесе басқа рейтингтік агенттіктердің бірінің осыған ұқсас деңгейдегі рейтингі бар елдердің жергілікті билік органдары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"AA-"-тен төмен емес борыштық рейтингі немесе басқа рейтингтік агенттіктердің бірінің осыған ұқсас деңгейдегі рейтингі бар ұйымдар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ІІ тобына енгізілген активтер бойынша есептелген сыйақы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 бағалы металдар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"ВВВ+"-тен "ВВВ-"-ке дейінгі тәуелсіз рейтингі немесе басқа рейтингтік агенттіктердің бірінің осыған ұқсас деңгейдегі рейтингі бар елдердің орталық банктеріндегі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"ВВВ+"-тен "ВВВ-"-ке дейінгі борыштық рейтингі немесе басқа рейтингтік агенттіктердің бірінің осыған ұқсас деңгейдегі рейтингі бар халықаралық қаржы ұйымдарындағы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"А+"-тен "А-"-ке дейінгі борыштық рейтингі немесе басқа рейтингтік агенттіктердің бірінің осыған ұқсас деңгейдегі рейтингі бар ұйымдардағы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"ВВВ+"-тен "ВВВ-"-ке дейінгі тәуелсіз рейтингі немесе басқа рейтингтік агенттіктердің бірінің осыған ұқсас деңгейдегі рейтингі бар елдердің орталық үкіметтері шығарған мемлекеттік мәртебесі бар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"ВВВ+"-тен "ВВВ-"-ке дейінгі борыштық рейтингі немесе басқа рейтингтік агенттіктердің бірінің осыған ұқсас деңгейдегі рейтингі бар халықаралық қаржы ұйымдары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"А+"-тен "А-"-ке дейін тәуелсіз рейтингі немесе басқа рейтингтік агенттіктердің бірінің осыған ұқсас деңгейдегі рейтингі бар елдердің жергілікті билік органдары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"А+"-тен "А-"-ке дейінгі борыштық рейтингі немесе басқа рейтингтік агенттіктердің бірінің осыған ұқсас деңгейдегі рейтингі бар ұйымдар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Кәсіпкерлік кодексіне сәйкес шағын немесе орта кәсіпкерлікке жатқызылған субъектілер шығарған, "Қазақстан қор биржасы" акционерлік қоғамының ресми тізімінің "негізгі" немесе "баламалы" алаңының "борыштық бағалы қағаздар" секторына енгізілген, "ДАМУ" кәсіпкерлікті дамыту қоры" акционерлік қоғамының және (немесе) "Қазақстанның Даму Банкі" акционерлік қоғамының кепілдігі бар, сомасы осы бағалы қағаздардың номиналды құнының кемінде 50 (елу) пайызын жабатын және мынадай өлшемшарттарға сәйкес келетін бағалы қағаздар:</w:t>
            </w:r>
          </w:p>
          <w:p>
            <w:pPr>
              <w:spacing w:after="20"/>
              <w:ind w:left="20"/>
              <w:jc w:val="both"/>
            </w:pPr>
            <w:r>
              <w:rPr>
                <w:rFonts w:ascii="Times New Roman"/>
                <w:b w:val="false"/>
                <w:i w:val="false"/>
                <w:color w:val="000000"/>
                <w:sz w:val="20"/>
              </w:rPr>
              <w:t>
1) эмитенттің бір бағалы қағаздар шығарылымына салынған инвестициялардың көлемі меншікті капиталдың 0,02 (нөл бүтін жүзден екі) пайызынан аспайды;</w:t>
            </w:r>
          </w:p>
          <w:p>
            <w:pPr>
              <w:spacing w:after="20"/>
              <w:ind w:left="20"/>
              <w:jc w:val="both"/>
            </w:pPr>
            <w:r>
              <w:rPr>
                <w:rFonts w:ascii="Times New Roman"/>
                <w:b w:val="false"/>
                <w:i w:val="false"/>
                <w:color w:val="000000"/>
                <w:sz w:val="20"/>
              </w:rPr>
              <w:t>
2) бағалы қағаздар шығарылымының валютасы –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"ВВВ-"-тен</w:t>
            </w:r>
          </w:p>
          <w:p>
            <w:pPr>
              <w:spacing w:after="20"/>
              <w:ind w:left="20"/>
              <w:jc w:val="both"/>
            </w:pPr>
            <w:r>
              <w:rPr>
                <w:rFonts w:ascii="Times New Roman"/>
                <w:b w:val="false"/>
                <w:i w:val="false"/>
                <w:color w:val="000000"/>
                <w:sz w:val="20"/>
              </w:rPr>
              <w:t>
"ВВ-"-ке дейінгі (қоса алғанда) борыштық рейтингі немесе басқа рейтингтік агенттіктердің бірінің осыған ұқсас деңгейдегі рейтингі бар Қазақстан Республикасының резидент банктеріне немесе Standard &amp; Poor's агенттігінің "ВВВ-"-тен "ВВ+"-ке дейінгі (қоса алғанда) борыштық рейтингі немесе басқа рейтингтік агенттіктердің бірінің осыған ұқсас деңгейдегі рейтингі бар Қазақстан Республикасының бейрезидент банкіне ашылған корреспонденттік шоттар бойынша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"ВВВ-"-тен</w:t>
            </w:r>
          </w:p>
          <w:p>
            <w:pPr>
              <w:spacing w:after="20"/>
              <w:ind w:left="20"/>
              <w:jc w:val="both"/>
            </w:pPr>
            <w:r>
              <w:rPr>
                <w:rFonts w:ascii="Times New Roman"/>
                <w:b w:val="false"/>
                <w:i w:val="false"/>
                <w:color w:val="000000"/>
                <w:sz w:val="20"/>
              </w:rPr>
              <w:t>
"ВВ-"-ке дейінгі (қоса алғанда) борыштық рейтингі немесе басқа рейтингтік агенттіктердің бірінің осыған ұқсас деңгейдегі рейтингі бар Қазақстан Республикасының резидент банктеріне немесе Standard &amp; Poor's агенттігінің "ВВВ-"-тен "ВВ+"-ке дейінгі (қоса алғанда) борыштық рейтингі немесе басқа рейтингтік агенттіктердің бірінің осыған ұқсас деңгейдегі рейтингі бар Қазақстан Республикасының бейрезидент банкіне ашылған ағымдағы шоттар бойынша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қор биржасы" акционерлік қоғамына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ІІІ тобына енгізілген активтер бойынша есептелген сыйақы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"ВВ+"-тен "В-"-ке дейінгі тәуелсіз рейтингі немесе басқа рейтингтік агенттіктердің бірінің осыған ұқсас деңгейдегі рейтингі бар елдердің және тиісті рейтингтік бағасы жоқ елдердің орталық банктеріндегі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"ВВ+"-тен "В-"-ке дейінгі борыштық рейтингі немесе басқа рейтингтік агенттіктердің бірінің осыған ұқсас деңгейдегі рейтингі бар халықаралық қаржы ұйымдарындағы және тиісті рейтингтік бағасы жоқ халықаралық қаржы ұйымдарындағы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"А-"-тен төмен борыштық рейтингі немесе басқа рейтингтік агенттіктердің бірінің осыған ұқсас деңгейдегі рейтингі бар Қазақстан Республикасының резидент ұйымдарындағы, тиісті рейтингтік бағасы жоқ Қазақстан Республикасының резидент ұйымдарындағы және Standard &amp; Poor's (Стандард энд Пурс) агенттігінің "ВВВ+"-тен "ВВ-"-ке дейінгі борыштық рейтингі немесе басқа рейтингтік агенттіктердің бірінің осыған ұқсас деңгейдегі рейтингі бар Қазақстан Республикасының бейрезидент ұйымдарындағы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"ВВ+"-тен "В-"-ке дейінгі тәуелсіз рейтингі немесе басқа рейтингтік агенттіктердің бірінің осыған ұқсас деңгейдегі рейтингі бар елдердің және тиісті рейтингтік бағасы жоқ елдердің орталық үкіметтері шығарған, мемлекеттік мәртебесі бар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"ВВВ+"-тен "ВВ-"-ке дейінгі тәуелсіз рейтингі немесе басқа рейтингтік агенттіктердің бірінің осыған ұқсас деңгейдегі рейтингі бар елдердің және тиісті рейтингтік бағасы жоқ елдердің жергілікті билік органдары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"ВВ+"-тен "В-"-ке дейінгі борыштық рейтингі немесе басқа рейтингтік агенттіктердің бірінің осыған ұқсас деңгейдегі рейтингі бар халықаралық қаржы ұйымдары және тиісті рейтингтік бағасы жоқ халықаралық қаржы ұйымдары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"А-"-тен төмен борыштық рейтингі немесе басқа рейтинг агенттіктерінің бірінің осыған ұқсас деңгейдегі рейтингі бар Қазақстан Республикасының резидент ұйымдары, тиісті рейтингтік бағасы жоқ Қазақстан Республикасының резидент ұйымдары және Standard &amp; Poor’s (Стандард энд Пурс) агенттігінің "ВВВ+"-тен "ВВ-"-ке дейінгі борыштық рейтингі немесе басқа рейтинг агенттіктерінің бірінің осыған ұқсас деңгейдегі рейтингі бар Қазақстан Республикасының бейрезидент ұйымдары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"ВВ-"-тен төмен борыштық рейтингі немесе басқа рейтингтік агенттіктердің бірінің осыған ұқсас деңгейдегі рейтингі бар Қазақстан Республикасының резидент банктеріне немесе Standard &amp; Poor’s (Стандард энд Пурс) агенттігінің "ВВ+"-тен төмен борыштық рейтингі немесе басқа рейтингтік агенттіктердің бірінің осыған ұқсас деңгейдегі рейтингі бар бейрезидент банкке ашылған корреспонденттік шоттар бойынша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"ВВ-"-тен төмен борыштық рейтингі немесе басқа рейтингтік агенттіктердің бірінің осыған ұқсас деңгейдегі рейтингі бар Қазақстан Республикасының резидент банктеріне немесе Standard &amp; Poor’s (Стандард энд Пурс) агенттігінің "ВВ+"-дан төмен борыштық рейтингі немесе басқа рейтингтік агенттіктердің бірінің осыған ұқсас деңгейдегі рейтингі бар бейрезидент банкке ашылған ағымдағы шоттар бойынша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IV тобына енгізілген активтер бойынша есептелген сыйақы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бойынша есептеулер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қорлар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және шығыстар сомасын алдын ала төлеу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Standюard &amp; Poor’s (Стандард энд Пурс) агенттігінің "В-"-тен төмен тәуелсіз рейтингі немесе басқа рейтингтік агенттіктердің бірінің осыған ұқсас деңгейдегі рейтингі бар елдердің орталық банктеріндегі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"В-"-тен төмен борыштық рейтингі немесе басқа рейтингтік агенттіктердің бірінің осыған ұқсас деңгейдегі рейтингі бар халықаралық қаржы ұйымдарындағы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"ВВ-"-тен төмен борыштық рейтингі немесе басқа рейтингтік агенттіктердің бірінің осыған ұқсас деңгейдегі рейтингі бар бейрезидент ұйымдардағы және тиісті рейтингтік бағасы жоқ Қазақстан Республикасының бейрезидент ұйымдарындағы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"В-"-тен төмен тәуелсіз рейтингі немесе басқа рейтингтік агенттіктердің бірінің осыған ұқсас деңгейдегі рейтингі бар елдердің орталық үкіметтері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"ВВ-"-тен төмен тәуелсіз рейтингі немесе басқа рейтингтік агенттіктердің бірінің осыған ұқсас деңгейдегі рейтингі бар елдердің жергілікті билік органдары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"В-"-тен төмен борыштық рейтингі немесе басқа рейтингтік агенттіктердің бірінің осыған ұқсас деңгейдегі рейтингі бар халықаралық қаржы ұйымдары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"ВВ-"-тен төмен борыштық рейтингі немесе басқа рейтингтік агенттіктердің бірінің осыған ұқсас деңгейдегі рейтингі бар Қазақстан Республикасының бейрезидент ұйымдары және тиісті рейтингтік бағасы жоқ Қазақстан Республикасының бейрезидент ұйымдары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V тобына енгізілген активтер бойынша есептелген сыйақы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Салымдардың кредиттiк тәуекел</w:t>
            </w:r>
            <w:r>
              <w:br/>
            </w:r>
            <w:r>
              <w:rPr>
                <w:rFonts w:ascii="Times New Roman"/>
                <w:b w:val="false"/>
                <w:i w:val="false"/>
                <w:color w:val="000000"/>
                <w:sz w:val="20"/>
              </w:rPr>
              <w:t>дәрежесi бойынша</w:t>
            </w:r>
            <w:r>
              <w:br/>
            </w:r>
            <w:r>
              <w:rPr>
                <w:rFonts w:ascii="Times New Roman"/>
                <w:b w:val="false"/>
                <w:i w:val="false"/>
                <w:color w:val="000000"/>
                <w:sz w:val="20"/>
              </w:rPr>
              <w:t>мөлшерленген</w:t>
            </w:r>
            <w:r>
              <w:br/>
            </w:r>
            <w:r>
              <w:rPr>
                <w:rFonts w:ascii="Times New Roman"/>
                <w:b w:val="false"/>
                <w:i w:val="false"/>
                <w:color w:val="000000"/>
                <w:sz w:val="20"/>
              </w:rPr>
              <w:t>Ұлттық пошта операторы</w:t>
            </w:r>
            <w:r>
              <w:br/>
            </w:r>
            <w:r>
              <w:rPr>
                <w:rFonts w:ascii="Times New Roman"/>
                <w:b w:val="false"/>
                <w:i w:val="false"/>
                <w:color w:val="000000"/>
                <w:sz w:val="20"/>
              </w:rPr>
              <w:t>активтерiнiң кестесiне</w:t>
            </w:r>
            <w:r>
              <w:br/>
            </w:r>
            <w:r>
              <w:rPr>
                <w:rFonts w:ascii="Times New Roman"/>
                <w:b w:val="false"/>
                <w:i w:val="false"/>
                <w:color w:val="000000"/>
                <w:sz w:val="20"/>
              </w:rPr>
              <w:t>қосымша</w:t>
            </w:r>
          </w:p>
        </w:tc>
      </w:tr>
    </w:tbl>
    <w:bookmarkStart w:name="z17" w:id="10"/>
    <w:p>
      <w:pPr>
        <w:spacing w:after="0"/>
        <w:ind w:left="0"/>
        <w:jc w:val="left"/>
      </w:pPr>
      <w:r>
        <w:rPr>
          <w:rFonts w:ascii="Times New Roman"/>
          <w:b/>
          <w:i w:val="false"/>
          <w:color w:val="000000"/>
        </w:rPr>
        <w:t xml:space="preserve"> Салымдардың кредиттік тәуекел дәрежесі бойынша мөлшерленуге тиісті Ұлттық пошта операторы активтерінің есебіне түсіндірме</w:t>
      </w:r>
    </w:p>
    <w:bookmarkEnd w:id="10"/>
    <w:bookmarkStart w:name="z18" w:id="11"/>
    <w:p>
      <w:pPr>
        <w:spacing w:after="0"/>
        <w:ind w:left="0"/>
        <w:jc w:val="both"/>
      </w:pPr>
      <w:r>
        <w:rPr>
          <w:rFonts w:ascii="Times New Roman"/>
          <w:b w:val="false"/>
          <w:i w:val="false"/>
          <w:color w:val="000000"/>
          <w:sz w:val="28"/>
        </w:rPr>
        <w:t>
      1. Салымдар, дебиторлық берешек, сатып алынған бағалы қағаздар, ұлттық пошта операторында түзетілген құны аталған активтер көлемінің 50 (елу) пайызынан кем емес қамтамасыз етуі бар қарыздар (Салымдардың кредиттік тәуекел дәрежесі бойынша мөлшерленген Ұлттық пошта операторы активтері кестесінің (бұдан әрі - Кесте) 1, 2, 3, 4, 5, 6, 7, 8, 9 10, 11, және 12-жолдарында көрсетілген активтер түріндегі) осы тармаққа сәйкес Ұлттық пошта операторында түзетілген қамтамасыз ету құнын анықтауға мүмкіндік беретін барабар есепке алу жүйесі болған кезде түзетілген қамтамасыз ету құнын шегергендегі тәуекел дәрежесі бойынша мөлшерленген активтер есебіне енгізіледі.</w:t>
      </w:r>
    </w:p>
    <w:bookmarkEnd w:id="11"/>
    <w:p>
      <w:pPr>
        <w:spacing w:after="0"/>
        <w:ind w:left="0"/>
        <w:jc w:val="both"/>
      </w:pPr>
      <w:r>
        <w:rPr>
          <w:rFonts w:ascii="Times New Roman"/>
          <w:b w:val="false"/>
          <w:i w:val="false"/>
          <w:color w:val="000000"/>
          <w:sz w:val="28"/>
        </w:rPr>
        <w:t>
      Түзетілген қамтамасыз ету құны (Кестенің 1, 2, 3, 4, 5, 6, 7, 8, 9 10, 11, және 12-жолдарында көрсетілген активтер түріндегі) мыналарға:</w:t>
      </w:r>
    </w:p>
    <w:p>
      <w:pPr>
        <w:spacing w:after="0"/>
        <w:ind w:left="0"/>
        <w:jc w:val="both"/>
      </w:pPr>
      <w:r>
        <w:rPr>
          <w:rFonts w:ascii="Times New Roman"/>
          <w:b w:val="false"/>
          <w:i w:val="false"/>
          <w:color w:val="000000"/>
          <w:sz w:val="28"/>
        </w:rPr>
        <w:t>
      салымдар сомасының 100 (жүз) пайызына, оның ішінде ұлттық пошта операторындағы қамтамасыз ету ретінде ұсынылғандары;</w:t>
      </w:r>
    </w:p>
    <w:p>
      <w:pPr>
        <w:spacing w:after="0"/>
        <w:ind w:left="0"/>
        <w:jc w:val="both"/>
      </w:pPr>
      <w:r>
        <w:rPr>
          <w:rFonts w:ascii="Times New Roman"/>
          <w:b w:val="false"/>
          <w:i w:val="false"/>
          <w:color w:val="000000"/>
          <w:sz w:val="28"/>
        </w:rPr>
        <w:t>
      қамтамасыз етуге берілген бағалы қағаздардың нарықтық құнының 95 (тоқсан бес) пайызына;</w:t>
      </w:r>
    </w:p>
    <w:p>
      <w:pPr>
        <w:spacing w:after="0"/>
        <w:ind w:left="0"/>
        <w:jc w:val="both"/>
      </w:pPr>
      <w:r>
        <w:rPr>
          <w:rFonts w:ascii="Times New Roman"/>
          <w:b w:val="false"/>
          <w:i w:val="false"/>
          <w:color w:val="000000"/>
          <w:sz w:val="28"/>
        </w:rPr>
        <w:t>
      қамтамасыз етуге берілген тазартылған бағалы металдардың нарықтық құнының 85 (сексен бес) пайызына тең болады.</w:t>
      </w:r>
    </w:p>
    <w:p>
      <w:pPr>
        <w:spacing w:after="0"/>
        <w:ind w:left="0"/>
        <w:jc w:val="both"/>
      </w:pPr>
      <w:r>
        <w:rPr>
          <w:rFonts w:ascii="Times New Roman"/>
          <w:b w:val="false"/>
          <w:i w:val="false"/>
          <w:color w:val="000000"/>
          <w:sz w:val="28"/>
        </w:rPr>
        <w:t>
      Жоғарыда көрсетілген салымдардың, дебиторлық берешектің, сатып алынған бағалы қағаздардың қамтамасыз етілмеген бөлігі салымдарға, дебиторлық берешекке, сатып алынған бағалы қағаздарға сәйкес келетін тәуекел дәрежесі бойынша Кестеге сай мөлшерленеді.</w:t>
      </w:r>
    </w:p>
    <w:bookmarkStart w:name="z19" w:id="12"/>
    <w:p>
      <w:pPr>
        <w:spacing w:after="0"/>
        <w:ind w:left="0"/>
        <w:jc w:val="both"/>
      </w:pPr>
      <w:r>
        <w:rPr>
          <w:rFonts w:ascii="Times New Roman"/>
          <w:b w:val="false"/>
          <w:i w:val="false"/>
          <w:color w:val="000000"/>
          <w:sz w:val="28"/>
        </w:rPr>
        <w:t>
      2. Контрагенттен төмен тәуекел дәрежесі бар ұйымдар кепілдік берген (сақтандырылған) Ұлттық пошта операторы инвестициялары есебіне енгізілмеген салымдар, дебиторлық берешек, сатып алынған бағалы қағаздар, қарыздар, инвестициялар тәуекел дәрежесі бойынша мөлшерленген (банк инвестициялары есебіне енгізілмеген салымдардың, дебиторлық берешектің, сатып алынған бағалы қағаздардың, қарыздардың, инвестициялардың кепілдік берген (сақтандырылған) сомасын шегергендегі) активтердің есебіне борышкердің тәуекел дәрежесі бойынша енгізіледі.</w:t>
      </w:r>
    </w:p>
    <w:bookmarkEnd w:id="12"/>
    <w:p>
      <w:pPr>
        <w:spacing w:after="0"/>
        <w:ind w:left="0"/>
        <w:jc w:val="both"/>
      </w:pPr>
      <w:r>
        <w:rPr>
          <w:rFonts w:ascii="Times New Roman"/>
          <w:b w:val="false"/>
          <w:i w:val="false"/>
          <w:color w:val="000000"/>
          <w:sz w:val="28"/>
        </w:rPr>
        <w:t>
      Банк инвестициялары есебіне енгізілмеген салымдардың, дебиторлық берешектің, сатып алынған бағалы қағаздардың, қарыздардың, инвестициялардың кепілдік берілген (сақтандырылған) сомасы тиісті кепілгердің (сақтандырушының) дебиторлық берешегінің тәуекел дәрежесі бойынша мөлшерленеді.</w:t>
      </w:r>
    </w:p>
    <w:bookmarkStart w:name="z20" w:id="13"/>
    <w:p>
      <w:pPr>
        <w:spacing w:after="0"/>
        <w:ind w:left="0"/>
        <w:jc w:val="both"/>
      </w:pPr>
      <w:r>
        <w:rPr>
          <w:rFonts w:ascii="Times New Roman"/>
          <w:b w:val="false"/>
          <w:i w:val="false"/>
          <w:color w:val="000000"/>
          <w:sz w:val="28"/>
        </w:rPr>
        <w:t>
      3. Егер бағалы қағаз шығарылымының арнайы борыштық рейтингі болса, онда тәуекел дәрежесі бойынша Ұлттық пошта операторы активтерін мөлшерлеу кезінде бағалы қағаз рейтингін ескеру қажет.</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