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c6f0" w14:textId="6b0c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12 мамырдағы № 390 және Қазақстан Республикасы Ұлттық экономика министрінің 2023 жылғы 15 мамырдағы № 65 бірлескен бұйрығы. Қазақстан Республикасының Әділет министрлігінде 2023 жылғы 16 мамырда № 32494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17655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10), 11) және 12) тармақшалармен толықтырылсын:</w:t>
      </w:r>
    </w:p>
    <w:bookmarkStart w:name="z5" w:id="3"/>
    <w:p>
      <w:pPr>
        <w:spacing w:after="0"/>
        <w:ind w:left="0"/>
        <w:jc w:val="both"/>
      </w:pPr>
      <w:r>
        <w:rPr>
          <w:rFonts w:ascii="Times New Roman"/>
          <w:b w:val="false"/>
          <w:i w:val="false"/>
          <w:color w:val="000000"/>
          <w:sz w:val="28"/>
        </w:rPr>
        <w:t>
      "10) балл – тәуекелді есептеудің сандық өлшемі;</w:t>
      </w:r>
    </w:p>
    <w:bookmarkEnd w:id="3"/>
    <w:bookmarkStart w:name="z6" w:id="4"/>
    <w:p>
      <w:pPr>
        <w:spacing w:after="0"/>
        <w:ind w:left="0"/>
        <w:jc w:val="both"/>
      </w:pPr>
      <w:r>
        <w:rPr>
          <w:rFonts w:ascii="Times New Roman"/>
          <w:b w:val="false"/>
          <w:i w:val="false"/>
          <w:color w:val="000000"/>
          <w:sz w:val="28"/>
        </w:rPr>
        <w:t>
      11) деректерді қалыпқа келтіру – әртүрлі шкаладерде өлшенген мәндерді шартты түрде жалпы шкалаге келтіруді көздейтін статистикалық рәсім;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іріктеме жиынтық (іріктеме) – Кәсіпкерлік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4) тармақшамен толықтырылсын:</w:t>
      </w:r>
    </w:p>
    <w:bookmarkStart w:name="z9" w:id="5"/>
    <w:p>
      <w:pPr>
        <w:spacing w:after="0"/>
        <w:ind w:left="0"/>
        <w:jc w:val="both"/>
      </w:pPr>
      <w:r>
        <w:rPr>
          <w:rFonts w:ascii="Times New Roman"/>
          <w:b w:val="false"/>
          <w:i w:val="false"/>
          <w:color w:val="000000"/>
          <w:sz w:val="28"/>
        </w:rPr>
        <w:t>
      "4) қызметтік қаруды пайдалана отырып күзет қызметін жүзеге асыратын және бірмезгілде күзет дабылы құралдарын монтаждау, баптау және оларға техникалық қызмет көрсету жөніндегі қызметпен айналысатын заңды тұлғалар.";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3) тармақшамен толықтырылсын:</w:t>
      </w:r>
    </w:p>
    <w:bookmarkStart w:name="z11" w:id="6"/>
    <w:p>
      <w:pPr>
        <w:spacing w:after="0"/>
        <w:ind w:left="0"/>
        <w:jc w:val="both"/>
      </w:pPr>
      <w:r>
        <w:rPr>
          <w:rFonts w:ascii="Times New Roman"/>
          <w:b w:val="false"/>
          <w:i w:val="false"/>
          <w:color w:val="000000"/>
          <w:sz w:val="28"/>
        </w:rPr>
        <w:t>
      "3) қызметтік қаруды пайдаланбай күзет қызметін жүзеге асыратын және бірмезгілде күзет дабылы құралдарын монтаждау, баптау және оларға техникалық қызмет көрсету жөніндегі қызметпен күзет қызметімен айналысатын заңды тұлғалар.";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"11. Бақылау субъектілерін анықтау үшін деректер базасын қалыптастыру және ақпарат жинау қажет.</w:t>
      </w:r>
    </w:p>
    <w:bookmarkEnd w:id="7"/>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"15. Қолдағы бар ақпарат көздер негізінде субъективтік өлшемшарттар бұзушылықтың үш дәрежесіне бөлінеді: өрескел, елеулі, болмашы.</w:t>
      </w:r>
    </w:p>
    <w:bookmarkEnd w:id="8"/>
    <w:p>
      <w:pPr>
        <w:spacing w:after="0"/>
        <w:ind w:left="0"/>
        <w:jc w:val="both"/>
      </w:pPr>
      <w:r>
        <w:rPr>
          <w:rFonts w:ascii="Times New Roman"/>
          <w:b w:val="false"/>
          <w:i w:val="false"/>
          <w:color w:val="000000"/>
          <w:sz w:val="28"/>
        </w:rPr>
        <w:t>
      Бұзушылық дәрежесі субъективтік өлшемшарттарға ықтимал тәуекелге және проблеманың маңыздылығына, бұзушылықтың жекешелігіне немесе жүйелігіне, бұрын қабылданған шешімдерді талдауға байланысты беріледі.</w:t>
      </w:r>
    </w:p>
    <w:p>
      <w:pPr>
        <w:spacing w:after="0"/>
        <w:ind w:left="0"/>
        <w:jc w:val="both"/>
      </w:pPr>
      <w:r>
        <w:rPr>
          <w:rFonts w:ascii="Times New Roman"/>
          <w:b w:val="false"/>
          <w:i w:val="false"/>
          <w:color w:val="000000"/>
          <w:sz w:val="28"/>
        </w:rPr>
        <w:t xml:space="preserve">
      Бақылау субъектісіне бару арқылы профилактикалық бақылауды жүзеге асыру үшін тәуекел дәрежесін бағалау кезінде күзет қызметінің тәуекел дәрежесін бағалаудың субъективтік өлшемшарттары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қолданылады.</w:t>
      </w:r>
    </w:p>
    <w:p>
      <w:pPr>
        <w:spacing w:after="0"/>
        <w:ind w:left="0"/>
        <w:jc w:val="both"/>
      </w:pPr>
      <w:r>
        <w:rPr>
          <w:rFonts w:ascii="Times New Roman"/>
          <w:b w:val="false"/>
          <w:i w:val="false"/>
          <w:color w:val="000000"/>
          <w:sz w:val="28"/>
        </w:rPr>
        <w:t xml:space="preserve">
      Талаптарға сәйкестігіне тексеруді жүргізу үшін тәуекел дәрежесін бағалау кезінде күзет қызметінің,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 қызметінің және күзет сигнализациясы құралдарын монтаждау, баптау және оларға техникалық қызмет көрсету жөніндегі қызметтің тәуекел дәрежесін бағалаудың субъективтік өлшемшарттары осы Өлшемшарттарға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қолданылады.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Қағидалардың (SC) 15-тармағына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bookmarkStart w:name="z16" w:id="9"/>
    <w:p>
      <w:pPr>
        <w:spacing w:after="0"/>
        <w:ind w:left="0"/>
        <w:jc w:val="both"/>
      </w:pPr>
      <w:r>
        <w:rPr>
          <w:rFonts w:ascii="Times New Roman"/>
          <w:b w:val="false"/>
          <w:i w:val="false"/>
          <w:color w:val="000000"/>
          <w:sz w:val="28"/>
        </w:rPr>
        <w:t>
      мынадай мазмұндағы 15-1-тармақпен толықтырылсын:</w:t>
      </w:r>
    </w:p>
    <w:bookmarkEnd w:id="9"/>
    <w:bookmarkStart w:name="z17" w:id="10"/>
    <w:p>
      <w:pPr>
        <w:spacing w:after="0"/>
        <w:ind w:left="0"/>
        <w:jc w:val="both"/>
      </w:pPr>
      <w:r>
        <w:rPr>
          <w:rFonts w:ascii="Times New Roman"/>
          <w:b w:val="false"/>
          <w:i w:val="false"/>
          <w:color w:val="000000"/>
          <w:sz w:val="28"/>
        </w:rPr>
        <w:t>
      "15-1. Алдыңғы тексерулер мен бақылау субъектілеріне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10"/>
    <w:p>
      <w:pPr>
        <w:spacing w:after="0"/>
        <w:ind w:left="0"/>
        <w:jc w:val="both"/>
      </w:pPr>
      <w:r>
        <w:rPr>
          <w:rFonts w:ascii="Times New Roman"/>
          <w:b w:val="false"/>
          <w:i w:val="false"/>
          <w:color w:val="000000"/>
          <w:sz w:val="28"/>
        </w:rPr>
        <w:t>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з</w:t>
      </w:r>
      <w:r>
        <w:rPr>
          <w:rFonts w:ascii="Times New Roman"/>
          <w:b w:val="false"/>
          <w:i w:val="false"/>
          <w:color w:val="000000"/>
          <w:sz w:val="28"/>
        </w:rPr>
        <w:t xml:space="preserve"> = (SP</w:t>
      </w:r>
      <w:r>
        <w:rPr>
          <w:rFonts w:ascii="Times New Roman"/>
          <w:b w:val="false"/>
          <w:i w:val="false"/>
          <w:color w:val="000000"/>
          <w:vertAlign w:val="subscript"/>
        </w:rPr>
        <w:t>2</w:t>
      </w:r>
      <w:r>
        <w:rPr>
          <w:rFonts w:ascii="Times New Roman"/>
          <w:b w:val="false"/>
          <w:i w:val="false"/>
          <w:color w:val="000000"/>
          <w:sz w:val="28"/>
        </w:rPr>
        <w:t xml:space="preserve"> x 100/SP</w:t>
      </w:r>
      <w:r>
        <w:rPr>
          <w:rFonts w:ascii="Times New Roman"/>
          <w:b w:val="false"/>
          <w:i w:val="false"/>
          <w:color w:val="000000"/>
          <w:vertAlign w:val="subscript"/>
        </w:rPr>
        <w:t>1</w:t>
      </w:r>
      <w:r>
        <w:rPr>
          <w:rFonts w:ascii="Times New Roman"/>
          <w:b w:val="false"/>
          <w:i w:val="false"/>
          <w:color w:val="000000"/>
          <w:sz w:val="28"/>
        </w:rPr>
        <w:t>) x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ЅР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ЅР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ЅР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ЅР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көрсеткіші (SР) 0-ден 100-ге дейінгі шкала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8" w:id="11"/>
    <w:p>
      <w:pPr>
        <w:spacing w:after="0"/>
        <w:ind w:left="0"/>
        <w:jc w:val="both"/>
      </w:pPr>
      <w:r>
        <w:rPr>
          <w:rFonts w:ascii="Times New Roman"/>
          <w:b w:val="false"/>
          <w:i w:val="false"/>
          <w:color w:val="000000"/>
          <w:sz w:val="28"/>
        </w:rPr>
        <w:t>
      мынадай мазмұндағы 15-2-тармақпен толықтырылсын:</w:t>
      </w:r>
    </w:p>
    <w:bookmarkEnd w:id="11"/>
    <w:bookmarkStart w:name="z19" w:id="12"/>
    <w:p>
      <w:pPr>
        <w:spacing w:after="0"/>
        <w:ind w:left="0"/>
        <w:jc w:val="both"/>
      </w:pPr>
      <w:r>
        <w:rPr>
          <w:rFonts w:ascii="Times New Roman"/>
          <w:b w:val="false"/>
          <w:i w:val="false"/>
          <w:color w:val="000000"/>
          <w:sz w:val="28"/>
        </w:rPr>
        <w:t>
      "15-2.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308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өлшемшарттарбойынша тәуекел дәрежесі көрсеткішінің алынған мәні субъективті өлшемшарттарбойынша тәуекел дәрежесі көрсеткішінің есебіне енгізіледі.";</w:t>
      </w:r>
    </w:p>
    <w:bookmarkStart w:name="z20" w:id="13"/>
    <w:p>
      <w:pPr>
        <w:spacing w:after="0"/>
        <w:ind w:left="0"/>
        <w:jc w:val="both"/>
      </w:pPr>
      <w:r>
        <w:rPr>
          <w:rFonts w:ascii="Times New Roman"/>
          <w:b w:val="false"/>
          <w:i w:val="false"/>
          <w:color w:val="000000"/>
          <w:sz w:val="28"/>
        </w:rPr>
        <w:t>
      мынадай мазмұндағы 15-3-тармақпен толықтырылсын:</w:t>
      </w:r>
    </w:p>
    <w:bookmarkEnd w:id="13"/>
    <w:bookmarkStart w:name="z21" w:id="14"/>
    <w:p>
      <w:pPr>
        <w:spacing w:after="0"/>
        <w:ind w:left="0"/>
        <w:jc w:val="both"/>
      </w:pPr>
      <w:r>
        <w:rPr>
          <w:rFonts w:ascii="Times New Roman"/>
          <w:b w:val="false"/>
          <w:i w:val="false"/>
          <w:color w:val="000000"/>
          <w:sz w:val="28"/>
        </w:rPr>
        <w:t>
      "15-3. R көрсеткіші бойынша субъектілер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жеке бақылау субъектісінің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бір іріктемелі жиынтыққа (іріктемеге) кіретін субъектілер бойынша субъективті өлшемшарттар бойынша тәуекел дәрежесінің шкаласы бойынша мүмкін болатын ең жоғарғы ықтимал мән (шкаланың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бір іріктемелі жиынтыққа (іріктемеге) кіретін субъектілер бойынша субъективті өлшемшарттар бойынша тәуекел дәрежесінің шкаласы бойынша мүмкін болатын ең төменгі ықтимал мән (шкаланың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"16. Тәуекел дәрежесінің көрсеткіштері бойынша бақылау субъектісі мыналарға:</w:t>
      </w:r>
    </w:p>
    <w:bookmarkEnd w:id="1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"22. Адал бақылау субъектілерін көтермелеу және бұзушыларға бақылау шоғырландыру қағидатын іске асыру мақсатында бақылау субъектілері реттеуші мемлекеттік органның тәуекел дәрежесін бағалау өлшемшарттарымен айқындалатын кезеңге бақылау субъектісіне бару арқылы профилактикалық бақылау және (немесе) талаптарға сәйкестігін тексеру жүргізуден босатылады.";</w:t>
      </w:r>
    </w:p>
    <w:bookmarkEnd w:id="16"/>
    <w:bookmarkStart w:name="z26" w:id="17"/>
    <w:p>
      <w:pPr>
        <w:spacing w:after="0"/>
        <w:ind w:left="0"/>
        <w:jc w:val="both"/>
      </w:pPr>
      <w:r>
        <w:rPr>
          <w:rFonts w:ascii="Times New Roman"/>
          <w:b w:val="false"/>
          <w:i w:val="false"/>
          <w:color w:val="000000"/>
          <w:sz w:val="28"/>
        </w:rPr>
        <w:t xml:space="preserve">
      күзет қызметін мемлекеттік бақылау,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 және күзет сигнализациясы құралдарын монтаждау, баптау және оларға техникалық қызмет көрсету жөніндегі қызмет бойынша тәуекел дәрежесін бағалау өлшемшарттарына </w:t>
      </w:r>
      <w:r>
        <w:rPr>
          <w:rFonts w:ascii="Times New Roman"/>
          <w:b w:val="false"/>
          <w:i w:val="false"/>
          <w:color w:val="000000"/>
          <w:sz w:val="28"/>
        </w:rPr>
        <w:t>1-қосымшада</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10, 11, 30 және 31-тармақтар алып тасталсын;</w:t>
      </w:r>
    </w:p>
    <w:bookmarkEnd w:id="18"/>
    <w:bookmarkStart w:name="z28" w:id="19"/>
    <w:p>
      <w:pPr>
        <w:spacing w:after="0"/>
        <w:ind w:left="0"/>
        <w:jc w:val="both"/>
      </w:pPr>
      <w:r>
        <w:rPr>
          <w:rFonts w:ascii="Times New Roman"/>
          <w:b w:val="false"/>
          <w:i w:val="false"/>
          <w:color w:val="000000"/>
          <w:sz w:val="28"/>
        </w:rPr>
        <w:t xml:space="preserve">
      күзет қызметін мемлекеттік бақылау,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 және күзет сигнализациясы құралдарын монтаждау, баптау және оларға техникалық қызмет көрсету жөніндегі қызмет бойынша тәуекел дәрежесін бағалау өлшемшарттарына </w:t>
      </w:r>
      <w:r>
        <w:rPr>
          <w:rFonts w:ascii="Times New Roman"/>
          <w:b w:val="false"/>
          <w:i w:val="false"/>
          <w:color w:val="000000"/>
          <w:sz w:val="28"/>
        </w:rPr>
        <w:t>2-қосымшада</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мынадай мазмұндағы 28-1 және 28-2-тармақтармен толықтырылсын: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жарғысыз және күзет қызметін жүзеге асыруына арналған лицензиясыз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мынадай мазмұндағы 51-1 және 51-2-тармақтармен толықтырылсын: </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жарғысыз және күзет қызметін жүзеге асыруына арналған лицензиясыз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1-1, 1-2 және 1-3-қосымшалармен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күзет қызметін мемлекеттік бақылау жөніндегі тексеру парағы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5-қосымшамен</w:t>
      </w:r>
      <w:r>
        <w:rPr>
          <w:rFonts w:ascii="Times New Roman"/>
          <w:b w:val="false"/>
          <w:i w:val="false"/>
          <w:color w:val="000000"/>
          <w:sz w:val="28"/>
        </w:rPr>
        <w:t xml:space="preserve"> бекітілген күзет қызметін мемлекеттік бақылау жөніндегі тексеру парағында:</w:t>
      </w:r>
    </w:p>
    <w:bookmarkStart w:name="z34" w:id="23"/>
    <w:p>
      <w:pPr>
        <w:spacing w:after="0"/>
        <w:ind w:left="0"/>
        <w:jc w:val="both"/>
      </w:pPr>
      <w:r>
        <w:rPr>
          <w:rFonts w:ascii="Times New Roman"/>
          <w:b w:val="false"/>
          <w:i w:val="false"/>
          <w:color w:val="000000"/>
          <w:sz w:val="28"/>
        </w:rPr>
        <w:t>
      9, 10-тармақтар алып тасталсын;</w:t>
      </w:r>
    </w:p>
    <w:bookmarkEnd w:id="23"/>
    <w:bookmarkStart w:name="z35" w:id="24"/>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Қазақстан Республикасының заңнамасында белгіленген тәртіпте:</w:t>
      </w:r>
    </w:p>
    <w:bookmarkEnd w:id="24"/>
    <w:bookmarkStart w:name="z36" w:id="25"/>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25"/>
    <w:bookmarkStart w:name="z37" w:id="26"/>
    <w:p>
      <w:pPr>
        <w:spacing w:after="0"/>
        <w:ind w:left="0"/>
        <w:jc w:val="both"/>
      </w:pPr>
      <w:r>
        <w:rPr>
          <w:rFonts w:ascii="Times New Roman"/>
          <w:b w:val="false"/>
          <w:i w:val="false"/>
          <w:color w:val="000000"/>
          <w:sz w:val="28"/>
        </w:rPr>
        <w:t>
      2) осы бірлескен бұйрықты Қазақстан Республикасы Ішкі істер министрлігінің интернет-ресурсына орналастыруды;</w:t>
      </w:r>
    </w:p>
    <w:bookmarkEnd w:id="26"/>
    <w:bookmarkStart w:name="z38" w:id="27"/>
    <w:p>
      <w:pPr>
        <w:spacing w:after="0"/>
        <w:ind w:left="0"/>
        <w:jc w:val="both"/>
      </w:pPr>
      <w:r>
        <w:rPr>
          <w:rFonts w:ascii="Times New Roman"/>
          <w:b w:val="false"/>
          <w:i w:val="false"/>
          <w:color w:val="000000"/>
          <w:sz w:val="28"/>
        </w:rPr>
        <w:t>
      3) осы бірлескен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 орындау туралы мәліметтерді Қазақстан Республикасының Ішкі істер министрлігі Заң департаментіне жолдауды қамтамасыз етсін.</w:t>
      </w:r>
    </w:p>
    <w:bookmarkEnd w:id="27"/>
    <w:bookmarkStart w:name="z39" w:id="28"/>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жүктелсін.</w:t>
      </w:r>
    </w:p>
    <w:bookmarkEnd w:id="28"/>
    <w:bookmarkStart w:name="z40" w:id="29"/>
    <w:p>
      <w:pPr>
        <w:spacing w:after="0"/>
        <w:ind w:left="0"/>
        <w:jc w:val="both"/>
      </w:pPr>
      <w:r>
        <w:rPr>
          <w:rFonts w:ascii="Times New Roman"/>
          <w:b w:val="false"/>
          <w:i w:val="false"/>
          <w:color w:val="000000"/>
          <w:sz w:val="28"/>
        </w:rPr>
        <w:t>
      4. Осы бірлескен бұйрық 2025 жылғы 1 қаңтардан бастап қолданысқа енгізілетін 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 өлшемшарттарына 1-қосымшасының 1-8, 10, 12-15, 17-21, 43-49-тармақтарын, 2-қосымшасының 1-29, 60-тармақтарын, 3-қосымшасының 1-13, 25-тармақтарын, 4-қосымшасының 2-17, 36-тармақтарын қоспағанда,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15 мамырдағы </w:t>
            </w:r>
            <w:r>
              <w:br/>
            </w:r>
            <w:r>
              <w:rPr>
                <w:rFonts w:ascii="Times New Roman"/>
                <w:b w:val="false"/>
                <w:i w:val="false"/>
                <w:color w:val="000000"/>
                <w:sz w:val="20"/>
              </w:rPr>
              <w:t>№ 65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 xml:space="preserve">2023 жылғы 12 мамырдағы </w:t>
            </w:r>
            <w:r>
              <w:br/>
            </w:r>
            <w:r>
              <w:rPr>
                <w:rFonts w:ascii="Times New Roman"/>
                <w:b w:val="false"/>
                <w:i w:val="false"/>
                <w:color w:val="000000"/>
                <w:sz w:val="20"/>
              </w:rPr>
              <w:t>№ 390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757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32 бірлескен бұйрығына</w:t>
            </w:r>
            <w:r>
              <w:br/>
            </w:r>
            <w:r>
              <w:rPr>
                <w:rFonts w:ascii="Times New Roman"/>
                <w:b w:val="false"/>
                <w:i w:val="false"/>
                <w:color w:val="000000"/>
                <w:sz w:val="20"/>
              </w:rPr>
              <w:t>1-1-қосымша</w:t>
            </w:r>
          </w:p>
        </w:tc>
      </w:tr>
    </w:tbl>
    <w:bookmarkStart w:name="z43" w:id="30"/>
    <w:p>
      <w:pPr>
        <w:spacing w:after="0"/>
        <w:ind w:left="0"/>
        <w:jc w:val="left"/>
      </w:pPr>
      <w:r>
        <w:rPr>
          <w:rFonts w:ascii="Times New Roman"/>
          <w:b/>
          <w:i w:val="false"/>
          <w:color w:val="000000"/>
        </w:rPr>
        <w:t xml:space="preserve"> Күзет қызметі саласындағы субъективті өлшемшарттар бойынша тәуекел дәрежесін айқындауға арналған субъективті өлшемшарттартізбесі Күзет қызметін жүзеге асыратын заңды тұлғалар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n.../мағынасы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Күзет қызметін жүзеге асыратын барлық субъектілер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 және азаматтары бір мезгілде күзет қызметімен айналысатын бірнеше ұйымның құрылтайшылары, қатысушылары және (немесе) меншік иелері болып табылады.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Бақылау субъектісіне бармай профилактикалық бақылау нәтижелері (ұсыным):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Күзет қызметін жүзеге асыратын барлық субъектілер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жарғысыз және күзет қызметін жүзеге асыруына арналған лицензиясыз жүзеге асырады.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Бақылау субъектісіне бармай профилактикалық бақылау нәтижелері (ұсыным):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15 мамырдағы </w:t>
            </w:r>
            <w:r>
              <w:br/>
            </w:r>
            <w:r>
              <w:rPr>
                <w:rFonts w:ascii="Times New Roman"/>
                <w:b w:val="false"/>
                <w:i w:val="false"/>
                <w:color w:val="000000"/>
                <w:sz w:val="20"/>
              </w:rPr>
              <w:t xml:space="preserve">№ 65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xml:space="preserve">№ 390 бірлескен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757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1-2-қосымша</w:t>
            </w:r>
          </w:p>
        </w:tc>
      </w:tr>
    </w:tbl>
    <w:bookmarkStart w:name="z46" w:id="31"/>
    <w:p>
      <w:pPr>
        <w:spacing w:after="0"/>
        <w:ind w:left="0"/>
        <w:jc w:val="left"/>
      </w:pPr>
      <w:r>
        <w:rPr>
          <w:rFonts w:ascii="Times New Roman"/>
          <w:b/>
          <w:i w:val="false"/>
          <w:color w:val="000000"/>
        </w:rPr>
        <w:t xml:space="preserve">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қызметіне субъективті өлшемшарттар бойынша тәуекел дәрежесін айқындауға арналған субъективті өлшемшарттар тізбесі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жүзеге асыратын заңды тұлғалар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n.../мағынасы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15 мамырдағы </w:t>
            </w:r>
            <w:r>
              <w:br/>
            </w:r>
            <w:r>
              <w:rPr>
                <w:rFonts w:ascii="Times New Roman"/>
                <w:b w:val="false"/>
                <w:i w:val="false"/>
                <w:color w:val="000000"/>
                <w:sz w:val="20"/>
              </w:rPr>
              <w:t xml:space="preserve">№ 65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 xml:space="preserve">2023 жылғы 12 мамырдағы </w:t>
            </w:r>
            <w:r>
              <w:br/>
            </w:r>
            <w:r>
              <w:rPr>
                <w:rFonts w:ascii="Times New Roman"/>
                <w:b w:val="false"/>
                <w:i w:val="false"/>
                <w:color w:val="000000"/>
                <w:sz w:val="20"/>
              </w:rPr>
              <w:t>№ 390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757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1-3-қосымша</w:t>
            </w:r>
          </w:p>
        </w:tc>
      </w:tr>
    </w:tbl>
    <w:bookmarkStart w:name="z49" w:id="32"/>
    <w:p>
      <w:pPr>
        <w:spacing w:after="0"/>
        <w:ind w:left="0"/>
        <w:jc w:val="left"/>
      </w:pPr>
      <w:r>
        <w:rPr>
          <w:rFonts w:ascii="Times New Roman"/>
          <w:b/>
          <w:i w:val="false"/>
          <w:color w:val="000000"/>
        </w:rPr>
        <w:t xml:space="preserve"> Күзет сигнализациясы құралдарын монтаждау, баптау және оларға техникалық қызмет көрсету жөніндегі қызметінесубъективті өлшемшарттар бойынша тәуекел дәрежесін айқындауға арналған субъективті өлшемшарттар тізбесі Күзет сигнализациясы құралдарын монтаждау, баптау және оларға техникалық қызмет көрсету жөніндегі қызметті жүзеге асыратын заңды және жеке тұлғалар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n.../мағынасы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тұлғада күзет дабылы құралдарын монтаждау, баптау және оларға техникалық қызмет көрсету жөніндегі қызметтің басталғаны туралы хабарламаның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ұйымдар ұсынатын мәліметтерді талдау және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15 мамырдағы </w:t>
            </w:r>
            <w:r>
              <w:br/>
            </w:r>
            <w:r>
              <w:rPr>
                <w:rFonts w:ascii="Times New Roman"/>
                <w:b w:val="false"/>
                <w:i w:val="false"/>
                <w:color w:val="000000"/>
                <w:sz w:val="20"/>
              </w:rPr>
              <w:t xml:space="preserve">№ 65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390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757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32 бірлескен бұйрығына</w:t>
            </w:r>
            <w:r>
              <w:br/>
            </w:r>
            <w:r>
              <w:rPr>
                <w:rFonts w:ascii="Times New Roman"/>
                <w:b w:val="false"/>
                <w:i w:val="false"/>
                <w:color w:val="000000"/>
                <w:sz w:val="20"/>
              </w:rPr>
              <w:t>2-қосымша</w:t>
            </w:r>
          </w:p>
        </w:tc>
      </w:tr>
    </w:tbl>
    <w:bookmarkStart w:name="z52" w:id="33"/>
    <w:p>
      <w:pPr>
        <w:spacing w:after="0"/>
        <w:ind w:left="0"/>
        <w:jc w:val="left"/>
      </w:pPr>
      <w:r>
        <w:rPr>
          <w:rFonts w:ascii="Times New Roman"/>
          <w:b/>
          <w:i w:val="false"/>
          <w:color w:val="000000"/>
        </w:rPr>
        <w:t xml:space="preserve"> Күзет қызметін мемлекеттік бақылау бойынша тексеру парағы</w:t>
      </w:r>
    </w:p>
    <w:bookmarkEnd w:id="33"/>
    <w:p>
      <w:pPr>
        <w:spacing w:after="0"/>
        <w:ind w:left="0"/>
        <w:jc w:val="both"/>
      </w:pPr>
      <w:r>
        <w:rPr>
          <w:rFonts w:ascii="Times New Roman"/>
          <w:b w:val="false"/>
          <w:i w:val="false"/>
          <w:color w:val="000000"/>
          <w:sz w:val="28"/>
        </w:rPr>
        <w:t>
      Күзет қызметін жүзеге асыратын заңды тұлғаларға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ЖСН, БСН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Күзет қызметін жүзеге асыратын барлық субъектілер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жарғысыз және күзет қызметін жүзеге асыруына арналған лицензиясыз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Қазақстан Республикасының азаматы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 қылмыс жасағаны үшін соттылығы бар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басшы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жеке күзет ұйымының басшысы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басшы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тартылмаған:террористiк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 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бұзылмаған: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Қазақстан Республикасының азаматтары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жұмыскерініңжасы 19 жастан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даярлықтан өткені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біліктілікті арттыру курстарынан өту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 қылмыс жасағаны үшін соттылығы бар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күзетші лауазымын атқаратын жеке күзет ұйымының жұмыскері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күзетші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тартылмаған:террористiк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жұмыскерімен кемінде үш жыл бұрын осыған ұқсас лауазымды атқарған кезеңде мынадай негіздер бойынша еңбек шарты бұзылмаған: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Террористік тұрғыдан осал объектілердің күзетін жүзеге асыратын субъектілер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саласында кемінде бір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 жалға алу құқығында орталықтандырылған күзет пунктін орналастыруға арналған үй-жайының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пультінің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Объектілерден дабыл сигналдарына шығуды қамтамасыз ететін кемінде екі мобильді топтарының (жедел ден қою топтарының)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оның ішінде атыс қаруының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Ұлттық компаниялар құрған күзет қызметі субъектілері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 құқығына Қазақстан Республикасының аумағында күзет қызметін бақылауды жүзеге асыру жөнінде уәкілетті органның келісім-хаттың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