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47a7" w14:textId="f304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ойын бизнесі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2023 жылғы 11 мамырдағы № 124 және Қазақстан Республикасы Ұлттық экономика министрінің 2023 жылғы 12 мамырдағы № 62 бірлескен бұйрығы. Қазақстан Республикасының Әділет министрлігінде 2023 жылғы 15 мамырда № 32492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ойын бизнесі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14313 болып тіркелген) келесі өзгерістер мен толықтырулар: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1-қосымшаға сәйкес Қазақстан Республикасының ойын бизнесі туралы заңнамасын сақтаудың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мынадай мазмұндағы 2-1) тармақшамен толықтырылсын:</w:t>
      </w:r>
    </w:p>
    <w:bookmarkEnd w:id="1"/>
    <w:bookmarkStart w:name="z6" w:id="2"/>
    <w:p>
      <w:pPr>
        <w:spacing w:after="0"/>
        <w:ind w:left="0"/>
        <w:jc w:val="both"/>
      </w:pPr>
      <w:r>
        <w:rPr>
          <w:rFonts w:ascii="Times New Roman"/>
          <w:b w:val="false"/>
          <w:i w:val="false"/>
          <w:color w:val="000000"/>
          <w:sz w:val="28"/>
        </w:rPr>
        <w:t>
      "2-1) балл – тәуекелді есептеудің сандық өлшемі;";</w:t>
      </w:r>
    </w:p>
    <w:bookmarkEnd w:id="2"/>
    <w:bookmarkStart w:name="z7" w:id="3"/>
    <w:p>
      <w:pPr>
        <w:spacing w:after="0"/>
        <w:ind w:left="0"/>
        <w:jc w:val="both"/>
      </w:pPr>
      <w:r>
        <w:rPr>
          <w:rFonts w:ascii="Times New Roman"/>
          <w:b w:val="false"/>
          <w:i w:val="false"/>
          <w:color w:val="000000"/>
          <w:sz w:val="28"/>
        </w:rPr>
        <w:t>
      мынадай мазмұндағы 4-1) тармақшамен толықтырылсын:</w:t>
      </w:r>
    </w:p>
    <w:bookmarkEnd w:id="3"/>
    <w:bookmarkStart w:name="z8" w:id="4"/>
    <w:p>
      <w:pPr>
        <w:spacing w:after="0"/>
        <w:ind w:left="0"/>
        <w:jc w:val="both"/>
      </w:pPr>
      <w:r>
        <w:rPr>
          <w:rFonts w:ascii="Times New Roman"/>
          <w:b w:val="false"/>
          <w:i w:val="false"/>
          <w:color w:val="000000"/>
          <w:sz w:val="28"/>
        </w:rPr>
        <w:t>
      "4-1) деректерді қалыпқа келтіру – әртүрлі шкалаларда өлшенген мәндерді шартты жалпы шкалаға келтіруді көздейтін статистикалық рәсім;";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біліктілік талаптарға сәйкестігін тексеруден босату процесі;";</w:t>
      </w:r>
    </w:p>
    <w:bookmarkEnd w:id="5"/>
    <w:bookmarkStart w:name="z11" w:id="6"/>
    <w:p>
      <w:pPr>
        <w:spacing w:after="0"/>
        <w:ind w:left="0"/>
        <w:jc w:val="both"/>
      </w:pPr>
      <w:r>
        <w:rPr>
          <w:rFonts w:ascii="Times New Roman"/>
          <w:b w:val="false"/>
          <w:i w:val="false"/>
          <w:color w:val="000000"/>
          <w:sz w:val="28"/>
        </w:rPr>
        <w:t>
      мынадай мазмұндағы 12) тармақшамен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"7. Бақылау субъектісіне (объектісіне) бару арқылы профилактикалық бақылауды және (немесе) біліктілік талаптарға сәйкестігіне тексеруді жүзеге асыру кезінде тәуекелдерді басқару мақсаттары үшін бақылау субъектілерін (объектілерін) біліктілік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7"/>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біліктілік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біліктілік талаптарға сәйкестігіне тексеру,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 (объектілері)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6" w:id="8"/>
    <w:p>
      <w:pPr>
        <w:spacing w:after="0"/>
        <w:ind w:left="0"/>
        <w:jc w:val="both"/>
      </w:pPr>
      <w:r>
        <w:rPr>
          <w:rFonts w:ascii="Times New Roman"/>
          <w:b w:val="false"/>
          <w:i w:val="false"/>
          <w:color w:val="000000"/>
          <w:sz w:val="28"/>
        </w:rPr>
        <w:t>
      "3 тарау. Субъективті өлшемшарттар бойынша тәуекел дәрежесін есептеу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 0-ден 100-ге дейінгі шәкіл бойынша есептеледі.</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"13. Деректер базасын қалыптастыру және ақпарат жинау Қазақстан Республикасының ойын бизнесі туралы заңнамасын бұзатын бақылау субъектілерін (объектілерін) анықтау үшін қажет.</w:t>
      </w:r>
    </w:p>
    <w:bookmarkEnd w:id="9"/>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Бару арқылы профилактикалық бақылау жүргізу кезінде кәсіпкерлік сібъектілерді іріктеу үшін ақпарат көздері мыналар болып табылады:</w:t>
      </w:r>
    </w:p>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Біліктілік талаптарға сәйкестігіне тексеру жүргізу кезінде кәсіпкерлік субъектілеріді іріктеу үшін ақпарат көздері мыналар болып табылады:</w:t>
      </w:r>
    </w:p>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біліктілік талаптарына сәйкестігін алдыңғы тексерулердің нәтижелері.";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бақылау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23" w:id="10"/>
    <w:p>
      <w:pPr>
        <w:spacing w:after="0"/>
        <w:ind w:left="0"/>
        <w:jc w:val="both"/>
      </w:pPr>
      <w:r>
        <w:rPr>
          <w:rFonts w:ascii="Times New Roman"/>
          <w:b w:val="false"/>
          <w:i w:val="false"/>
          <w:color w:val="000000"/>
          <w:sz w:val="28"/>
        </w:rPr>
        <w:t>
      мынадай мазмұндағы 17-тармақпен толықтырылсын:</w:t>
      </w:r>
    </w:p>
    <w:bookmarkEnd w:id="10"/>
    <w:bookmarkStart w:name="z24" w:id="11"/>
    <w:p>
      <w:pPr>
        <w:spacing w:after="0"/>
        <w:ind w:left="0"/>
        <w:jc w:val="both"/>
      </w:pPr>
      <w:r>
        <w:rPr>
          <w:rFonts w:ascii="Times New Roman"/>
          <w:b w:val="false"/>
          <w:i w:val="false"/>
          <w:color w:val="000000"/>
          <w:sz w:val="28"/>
        </w:rPr>
        <w:t>
      "17.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11"/>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25" w:id="12"/>
    <w:p>
      <w:pPr>
        <w:spacing w:after="0"/>
        <w:ind w:left="0"/>
        <w:jc w:val="both"/>
      </w:pPr>
      <w:r>
        <w:rPr>
          <w:rFonts w:ascii="Times New Roman"/>
          <w:b w:val="false"/>
          <w:i w:val="false"/>
          <w:color w:val="000000"/>
          <w:sz w:val="28"/>
        </w:rPr>
        <w:t>
      мынадай мазмұндағы 18-тармақпен толықтырылсын: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27" w:id="13"/>
    <w:p>
      <w:pPr>
        <w:spacing w:after="0"/>
        <w:ind w:left="0"/>
        <w:jc w:val="both"/>
      </w:pPr>
      <w:r>
        <w:rPr>
          <w:rFonts w:ascii="Times New Roman"/>
          <w:b w:val="false"/>
          <w:i w:val="false"/>
          <w:color w:val="000000"/>
          <w:sz w:val="28"/>
        </w:rPr>
        <w:t>
      мынадай мазмұндағы 19-тармақпен толықтырылсын:</w:t>
      </w:r>
    </w:p>
    <w:bookmarkEnd w:id="13"/>
    <w:bookmarkStart w:name="z28" w:id="14"/>
    <w:p>
      <w:pPr>
        <w:spacing w:after="0"/>
        <w:ind w:left="0"/>
        <w:jc w:val="both"/>
      </w:pPr>
      <w:r>
        <w:rPr>
          <w:rFonts w:ascii="Times New Roman"/>
          <w:b w:val="false"/>
          <w:i w:val="false"/>
          <w:color w:val="000000"/>
          <w:sz w:val="28"/>
        </w:rPr>
        <w:t>
      "19.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16-тармағына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2-қосымша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4-қосымшамен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5-қосымшамен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6-қосымшамен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2-қосымшаға сәйкес Казино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Start w:name="z36" w:id="15"/>
    <w:p>
      <w:pPr>
        <w:spacing w:after="0"/>
        <w:ind w:left="0"/>
        <w:jc w:val="both"/>
      </w:pPr>
      <w:r>
        <w:rPr>
          <w:rFonts w:ascii="Times New Roman"/>
          <w:b w:val="false"/>
          <w:i w:val="false"/>
          <w:color w:val="000000"/>
          <w:sz w:val="28"/>
        </w:rPr>
        <w:t>
      бірінші абзац мынадай редакцияда жазылсын:</w:t>
      </w:r>
    </w:p>
    <w:bookmarkEnd w:id="15"/>
    <w:bookmarkStart w:name="z37" w:id="16"/>
    <w:p>
      <w:pPr>
        <w:spacing w:after="0"/>
        <w:ind w:left="0"/>
        <w:jc w:val="both"/>
      </w:pPr>
      <w:r>
        <w:rPr>
          <w:rFonts w:ascii="Times New Roman"/>
          <w:b w:val="false"/>
          <w:i w:val="false"/>
          <w:color w:val="000000"/>
          <w:sz w:val="28"/>
        </w:rPr>
        <w:t xml:space="preserve">
      "Бақылау субъектісіне (объектісіне) бара отырып, тексеруді / </w:t>
      </w:r>
    </w:p>
    <w:bookmarkEnd w:id="16"/>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3-қосымшаға сәйкес Ойын автоматтары залдарының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Start w:name="z70" w:id="17"/>
    <w:p>
      <w:pPr>
        <w:spacing w:after="0"/>
        <w:ind w:left="0"/>
        <w:jc w:val="both"/>
      </w:pPr>
      <w:r>
        <w:rPr>
          <w:rFonts w:ascii="Times New Roman"/>
          <w:b w:val="false"/>
          <w:i w:val="false"/>
          <w:color w:val="000000"/>
          <w:sz w:val="28"/>
        </w:rPr>
        <w:t>
      бірінші абзац мынадай редакцияда жазылсын:</w:t>
      </w:r>
    </w:p>
    <w:bookmarkEnd w:id="17"/>
    <w:bookmarkStart w:name="z39" w:id="18"/>
    <w:p>
      <w:pPr>
        <w:spacing w:after="0"/>
        <w:ind w:left="0"/>
        <w:jc w:val="both"/>
      </w:pPr>
      <w:r>
        <w:rPr>
          <w:rFonts w:ascii="Times New Roman"/>
          <w:b w:val="false"/>
          <w:i w:val="false"/>
          <w:color w:val="000000"/>
          <w:sz w:val="28"/>
        </w:rPr>
        <w:t xml:space="preserve">
      "Бақылау субъектісіне (объектісіне) бара отырып, тексеруді / </w:t>
      </w:r>
    </w:p>
    <w:bookmarkEnd w:id="18"/>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4-қосымшаға сәйкес букмекерлік кеңселердің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Start w:name="z41" w:id="19"/>
    <w:p>
      <w:pPr>
        <w:spacing w:after="0"/>
        <w:ind w:left="0"/>
        <w:jc w:val="both"/>
      </w:pPr>
      <w:r>
        <w:rPr>
          <w:rFonts w:ascii="Times New Roman"/>
          <w:b w:val="false"/>
          <w:i w:val="false"/>
          <w:color w:val="000000"/>
          <w:sz w:val="28"/>
        </w:rPr>
        <w:t>
      бірінші абзац мынадай редакцияда жазылсын:</w:t>
      </w:r>
    </w:p>
    <w:bookmarkEnd w:id="19"/>
    <w:bookmarkStart w:name="z42" w:id="20"/>
    <w:p>
      <w:pPr>
        <w:spacing w:after="0"/>
        <w:ind w:left="0"/>
        <w:jc w:val="both"/>
      </w:pPr>
      <w:r>
        <w:rPr>
          <w:rFonts w:ascii="Times New Roman"/>
          <w:b w:val="false"/>
          <w:i w:val="false"/>
          <w:color w:val="000000"/>
          <w:sz w:val="28"/>
        </w:rPr>
        <w:t xml:space="preserve">
      "Бақылау субъектісіне (объектісіне) бара отырып, тексеруді / </w:t>
      </w:r>
    </w:p>
    <w:bookmarkEnd w:id="20"/>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5-қосымшаға сәйкес тотализаторлардың қызметін қызметін жүзеге асыратын ойын бизнесін ұйымдастырушылардың Қазақстан Республикасының ойын бизнесі туралы заңнамасын сақтаудың мемлекеттік бақылау саласындағы тексеру </w:t>
      </w:r>
      <w:r>
        <w:rPr>
          <w:rFonts w:ascii="Times New Roman"/>
          <w:b w:val="false"/>
          <w:i w:val="false"/>
          <w:color w:val="000000"/>
          <w:sz w:val="28"/>
        </w:rPr>
        <w:t>парағында</w:t>
      </w:r>
      <w:r>
        <w:rPr>
          <w:rFonts w:ascii="Times New Roman"/>
          <w:b w:val="false"/>
          <w:i w:val="false"/>
          <w:color w:val="000000"/>
          <w:sz w:val="28"/>
        </w:rPr>
        <w:t>:</w:t>
      </w:r>
    </w:p>
    <w:bookmarkStart w:name="z44"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45" w:id="22"/>
    <w:p>
      <w:pPr>
        <w:spacing w:after="0"/>
        <w:ind w:left="0"/>
        <w:jc w:val="both"/>
      </w:pPr>
      <w:r>
        <w:rPr>
          <w:rFonts w:ascii="Times New Roman"/>
          <w:b w:val="false"/>
          <w:i w:val="false"/>
          <w:color w:val="000000"/>
          <w:sz w:val="28"/>
        </w:rPr>
        <w:t xml:space="preserve">
      "Бақылау субъектісіне (объектісіне) бара отырып, тексеруді / </w:t>
      </w:r>
    </w:p>
    <w:bookmarkEnd w:id="22"/>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_______________ </w:t>
      </w:r>
    </w:p>
    <w:p>
      <w:pPr>
        <w:spacing w:after="0"/>
        <w:ind w:left="0"/>
        <w:jc w:val="both"/>
      </w:pPr>
      <w:r>
        <w:rPr>
          <w:rFonts w:ascii="Times New Roman"/>
          <w:b w:val="false"/>
          <w:i w:val="false"/>
          <w:color w:val="000000"/>
          <w:sz w:val="28"/>
        </w:rPr>
        <w:t>
      _________________________________________________________________".</w:t>
      </w:r>
    </w:p>
    <w:bookmarkStart w:name="z46" w:id="23"/>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заңнамада белгіленген тәртіппен мыналарды қамтамасыз етсін:</w:t>
      </w:r>
    </w:p>
    <w:bookmarkEnd w:id="23"/>
    <w:bookmarkStart w:name="z47" w:id="2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w:t>
      </w:r>
    </w:p>
    <w:bookmarkEnd w:id="24"/>
    <w:bookmarkStart w:name="z48" w:id="25"/>
    <w:p>
      <w:pPr>
        <w:spacing w:after="0"/>
        <w:ind w:left="0"/>
        <w:jc w:val="both"/>
      </w:pPr>
      <w:r>
        <w:rPr>
          <w:rFonts w:ascii="Times New Roman"/>
          <w:b w:val="false"/>
          <w:i w:val="false"/>
          <w:color w:val="000000"/>
          <w:sz w:val="28"/>
        </w:rPr>
        <w:t>
      2) осы бірлескен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25"/>
    <w:bookmarkStart w:name="z49" w:id="26"/>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26"/>
    <w:bookmarkStart w:name="z50" w:id="2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спорт вице-министріне жүктелсін.</w:t>
      </w:r>
    </w:p>
    <w:bookmarkEnd w:id="27"/>
    <w:bookmarkStart w:name="z51" w:id="2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Еркинбаев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мамырдағы</w:t>
            </w:r>
            <w:r>
              <w:br/>
            </w:r>
            <w:r>
              <w:rPr>
                <w:rFonts w:ascii="Times New Roman"/>
                <w:b w:val="false"/>
                <w:i w:val="false"/>
                <w:color w:val="000000"/>
                <w:sz w:val="20"/>
              </w:rPr>
              <w:t>№ 62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11 мамырдағы</w:t>
            </w:r>
            <w:r>
              <w:br/>
            </w:r>
            <w:r>
              <w:rPr>
                <w:rFonts w:ascii="Times New Roman"/>
                <w:b w:val="false"/>
                <w:i w:val="false"/>
                <w:color w:val="000000"/>
                <w:sz w:val="20"/>
              </w:rPr>
              <w:t>№ 124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54" w:id="29"/>
    <w:p>
      <w:pPr>
        <w:spacing w:after="0"/>
        <w:ind w:left="0"/>
        <w:jc w:val="left"/>
      </w:pPr>
      <w:r>
        <w:rPr>
          <w:rFonts w:ascii="Times New Roman"/>
          <w:b/>
          <w:i w:val="false"/>
          <w:color w:val="000000"/>
        </w:rPr>
        <w:t xml:space="preserve"> Бару арқылы профилактикалық бақылау жүргізу үшін казино мен ойын автоматтары залдарының қызметін жүзеге асыратын ойын бизнесі саласындағы бақылау субъектілеріне (объектілеріне) қойылатын талаптардың бұзылу дәрежесі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(ойын мекемелерінің кассалары мен ойын орындары жазылған ақпараттың кемінде жеті тәулік сақталуын қамтамасыз ететін және құмар ойынға қатысушылардың барлығының әрекетін тіркейтін бейнежазба жүйелерімен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ойын жабдықтарының,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мәліметтер;</w:t>
            </w:r>
          </w:p>
          <w:p>
            <w:pPr>
              <w:spacing w:after="20"/>
              <w:ind w:left="20"/>
              <w:jc w:val="both"/>
            </w:pPr>
            <w:r>
              <w:rPr>
                <w:rFonts w:ascii="Times New Roman"/>
                <w:b w:val="false"/>
                <w:i w:val="false"/>
                <w:color w:val="000000"/>
                <w:sz w:val="20"/>
              </w:rPr>
              <w:t>
4) ойын үстелдерінің санының өзгеруі, лицензия алған кезде көрсетілген жабдықты ауыстыру туралы мәліметтер;</w:t>
            </w:r>
          </w:p>
          <w:p>
            <w:pPr>
              <w:spacing w:after="20"/>
              <w:ind w:left="20"/>
              <w:jc w:val="both"/>
            </w:pPr>
            <w:r>
              <w:rPr>
                <w:rFonts w:ascii="Times New Roman"/>
                <w:b w:val="false"/>
                <w:i w:val="false"/>
                <w:color w:val="000000"/>
                <w:sz w:val="20"/>
              </w:rPr>
              <w:t>
5) кассалар тізімі және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казинода кемінде отыз ойын үстелін орнату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немесе олардың бөліктерін казинодағы қабырғаларға, терезе және есік ойықтарына орнатуға тыйым салу туралы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автоматына технологиялық салынған ұтыстың белгіленген пайызына қатысты талаптарды сақтамау тоқсан бес пайыздан төмен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мекемелерінің кассалары мен ойын орындарын жазылған ақпаратты кемінде жеті тәулік сақтауды қамтамасыз ететін және құмар ойынға қатысушылардың барлығының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ойын жабдықтарының, ойын автоматтарының техникалық жай-күйі туралы мәліметтер;</w:t>
            </w:r>
          </w:p>
          <w:p>
            <w:pPr>
              <w:spacing w:after="20"/>
              <w:ind w:left="20"/>
              <w:jc w:val="both"/>
            </w:pPr>
            <w:r>
              <w:rPr>
                <w:rFonts w:ascii="Times New Roman"/>
                <w:b w:val="false"/>
                <w:i w:val="false"/>
                <w:color w:val="000000"/>
                <w:sz w:val="20"/>
              </w:rPr>
              <w:t>
2)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3) ойын автоматына технологиялық салынған ұтыстың белгіленген пайызы туралы мәліметтер;</w:t>
            </w:r>
          </w:p>
          <w:p>
            <w:pPr>
              <w:spacing w:after="20"/>
              <w:ind w:left="20"/>
              <w:jc w:val="both"/>
            </w:pPr>
            <w:r>
              <w:rPr>
                <w:rFonts w:ascii="Times New Roman"/>
                <w:b w:val="false"/>
                <w:i w:val="false"/>
                <w:color w:val="000000"/>
                <w:sz w:val="20"/>
              </w:rPr>
              <w:t>
4) ойын үстелдерінің санының өзгеруі, лицензия алған кезде көрсетілген жабдықты ауыстыру туралы мәліметтер;</w:t>
            </w:r>
          </w:p>
          <w:p>
            <w:pPr>
              <w:spacing w:after="20"/>
              <w:ind w:left="20"/>
              <w:jc w:val="both"/>
            </w:pPr>
            <w:r>
              <w:rPr>
                <w:rFonts w:ascii="Times New Roman"/>
                <w:b w:val="false"/>
                <w:i w:val="false"/>
                <w:color w:val="000000"/>
                <w:sz w:val="20"/>
              </w:rPr>
              <w:t>
5) кассалар тізімі және қызметкерлер саны туралы мәліметтер;</w:t>
            </w:r>
          </w:p>
          <w:p>
            <w:pPr>
              <w:spacing w:after="20"/>
              <w:ind w:left="20"/>
              <w:jc w:val="both"/>
            </w:pPr>
            <w:r>
              <w:rPr>
                <w:rFonts w:ascii="Times New Roman"/>
                <w:b w:val="false"/>
                <w:i w:val="false"/>
                <w:color w:val="000000"/>
                <w:sz w:val="20"/>
              </w:rPr>
              <w:t>
6)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залда кемінде алпыс ойын автоматын орнату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автоматтарын немесе олардың бөліктерін Ойын автоматтары залдарындағы қабырғаларға, терезе және есік ойықтарына орнатуға тыйым салу туралы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автоматына технологиялық тұрғыда тоқсан бес пайыздан төмен емес орналастырылған ұтыс пайызына қатысты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мекемелерінің кассалары мен ойын орындарын жазылған ақпаратты кемінде жеті тәулік сақтауды қамтамасыз ететін және құмар ойынға қатысушылардың барлығының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құмар ойындарға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мамырдағы</w:t>
            </w:r>
            <w:r>
              <w:br/>
            </w:r>
            <w:r>
              <w:rPr>
                <w:rFonts w:ascii="Times New Roman"/>
                <w:b w:val="false"/>
                <w:i w:val="false"/>
                <w:color w:val="000000"/>
                <w:sz w:val="20"/>
              </w:rPr>
              <w:t>№ 62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11 мамырдағы</w:t>
            </w:r>
            <w:r>
              <w:br/>
            </w:r>
            <w:r>
              <w:rPr>
                <w:rFonts w:ascii="Times New Roman"/>
                <w:b w:val="false"/>
                <w:i w:val="false"/>
                <w:color w:val="000000"/>
                <w:sz w:val="20"/>
              </w:rPr>
              <w:t>№ 124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57" w:id="30"/>
    <w:p>
      <w:pPr>
        <w:spacing w:after="0"/>
        <w:ind w:left="0"/>
        <w:jc w:val="left"/>
      </w:pPr>
      <w:r>
        <w:rPr>
          <w:rFonts w:ascii="Times New Roman"/>
          <w:b/>
          <w:i w:val="false"/>
          <w:color w:val="000000"/>
        </w:rPr>
        <w:t xml:space="preserve"> Біліктілік талаптарына сәйкестігіне тексеру жүргізу үшін казино мен ойын автоматтары залдарының қызметін жүзеге асыратын ойын бизнесі саласындағы бақылау субъектілеріне (объектілеріне) қойылатын талаптардың бұзылу дәрежесі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автоматына технологиялық салынған ұтыстың белгіленген пайызы туралы мәліметтердің болмауы (ойын автоматына технологиялық салынған ұтыстың пайызы тоқсан бес пайыздан төмен болмауы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(бір казинода кемінде отыз ойын үстелі орнатылуы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(ойын автоматтарының бір залында кемінде алпыс ойын автоматы орнатылуы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казино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60000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Ойын автоматтары залдарының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60000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уәкілетті органға банктік салым шартын жасасу кезінде ашылған банктік шоттар бойынша ақшаның болуы және қозғалысы туралы анықтаманы кемінде үш айда бір рет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үш жұлдыздан төмен емес санаттағы қонақ үй кешенінде меншік құқығында немесе өзге де заңды негізде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меншік құқығында ойын жабдығының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қызметін жүзеге асыру үшін қазақ және орыс тілдерінде қолданылатын заңдастыру белгілерінің үлгілері мен номинацияларының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казино қызметін жүзеге асыру үшін 60 000 айлық есептік көрсеткіш мөлшерінде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ставкаларды қабылдаудың және қазақ және орыс тілдерінде өткізілетін құмар ойындардың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құмар ойындарға шамадан тыс құмарлықтың зияны туралы ескерту;</w:t>
            </w:r>
          </w:p>
          <w:p>
            <w:pPr>
              <w:spacing w:after="20"/>
              <w:ind w:left="20"/>
              <w:jc w:val="both"/>
            </w:pPr>
            <w:r>
              <w:rPr>
                <w:rFonts w:ascii="Times New Roman"/>
                <w:b w:val="false"/>
                <w:i w:val="false"/>
                <w:color w:val="000000"/>
                <w:sz w:val="20"/>
              </w:rPr>
              <w:t>
5) құмар ойындарға қатысуды дербес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телефондарының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ойындарда тікелей қолданылатын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ұйымдастырушының және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қатысу шарттары;</w:t>
            </w:r>
          </w:p>
          <w:p>
            <w:pPr>
              <w:spacing w:after="20"/>
              <w:ind w:left="20"/>
              <w:jc w:val="both"/>
            </w:pPr>
            <w:r>
              <w:rPr>
                <w:rFonts w:ascii="Times New Roman"/>
                <w:b w:val="false"/>
                <w:i w:val="false"/>
                <w:color w:val="000000"/>
                <w:sz w:val="20"/>
              </w:rPr>
              <w:t>
12) құмар ойынды, сондай-ақ ойын сессиясын өткізу тәртібі;</w:t>
            </w:r>
          </w:p>
          <w:p>
            <w:pPr>
              <w:spacing w:after="20"/>
              <w:ind w:left="20"/>
              <w:jc w:val="both"/>
            </w:pPr>
            <w:r>
              <w:rPr>
                <w:rFonts w:ascii="Times New Roman"/>
                <w:b w:val="false"/>
                <w:i w:val="false"/>
                <w:color w:val="000000"/>
                <w:sz w:val="20"/>
              </w:rPr>
              <w:t>
13) құмар ойындарда ставкаларды қабылдау шарттары;</w:t>
            </w:r>
          </w:p>
          <w:p>
            <w:pPr>
              <w:spacing w:after="20"/>
              <w:ind w:left="20"/>
              <w:jc w:val="both"/>
            </w:pPr>
            <w:r>
              <w:rPr>
                <w:rFonts w:ascii="Times New Roman"/>
                <w:b w:val="false"/>
                <w:i w:val="false"/>
                <w:color w:val="000000"/>
                <w:sz w:val="20"/>
              </w:rPr>
              <w:t>
14) құмар ойынға қатысушыға ұтыс төленуге жататын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залдарының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немесе өзге де заңды негізде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меншік құқығында ойын жабдығының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қызметін жүзеге асыру үшін қазақ және орыс тілдерінде қолданылатын заңдастыру белгілерінің үлгілері мен номинацияларының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Ойын автоматтары залының қызметін жүзеге асыру үшін 60000 айлық есептік көрсеткіш мөлшерінде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мекемесінде көрнекті жерде, сондай-ақ ойын бизнесін ұйымдастырушының интернет-ресурсында (бар болса) орналастырылған ойын мекемесі жұмысының, ставкаларды қабылдаудың және қазақ және орыс тілдерінде өткізілетін құмар ойындардың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ойын мекемесінің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құмар ойындарға шамадан тыс құмарлықтың зияны туралы ескерту;</w:t>
            </w:r>
          </w:p>
          <w:p>
            <w:pPr>
              <w:spacing w:after="20"/>
              <w:ind w:left="20"/>
              <w:jc w:val="both"/>
            </w:pPr>
            <w:r>
              <w:rPr>
                <w:rFonts w:ascii="Times New Roman"/>
                <w:b w:val="false"/>
                <w:i w:val="false"/>
                <w:color w:val="000000"/>
                <w:sz w:val="20"/>
              </w:rPr>
              <w:t>
5) құмар ойындарға қатысуды дербес шектеу тәртібі;</w:t>
            </w:r>
          </w:p>
          <w:p>
            <w:pPr>
              <w:spacing w:after="20"/>
              <w:ind w:left="20"/>
              <w:jc w:val="both"/>
            </w:pPr>
            <w:r>
              <w:rPr>
                <w:rFonts w:ascii="Times New Roman"/>
                <w:b w:val="false"/>
                <w:i w:val="false"/>
                <w:color w:val="000000"/>
                <w:sz w:val="20"/>
              </w:rPr>
              <w:t>
6) құмар ойынға қатысушыларға, сондай-ақ олардың жақын туыстарына психологиялық көмек көрсететін мамандардың (мекемелердің, ұйымдардың, қызметтердің) орналасқан жері мен байланыс телефондарының нөмірлері;</w:t>
            </w:r>
          </w:p>
          <w:p>
            <w:pPr>
              <w:spacing w:after="20"/>
              <w:ind w:left="20"/>
              <w:jc w:val="both"/>
            </w:pPr>
            <w:r>
              <w:rPr>
                <w:rFonts w:ascii="Times New Roman"/>
                <w:b w:val="false"/>
                <w:i w:val="false"/>
                <w:color w:val="000000"/>
                <w:sz w:val="20"/>
              </w:rPr>
              <w:t>
7) құмар ойынға қатысушының жеке басын анықтау тәртібі;</w:t>
            </w:r>
          </w:p>
          <w:p>
            <w:pPr>
              <w:spacing w:after="20"/>
              <w:ind w:left="20"/>
              <w:jc w:val="both"/>
            </w:pPr>
            <w:r>
              <w:rPr>
                <w:rFonts w:ascii="Times New Roman"/>
                <w:b w:val="false"/>
                <w:i w:val="false"/>
                <w:color w:val="000000"/>
                <w:sz w:val="20"/>
              </w:rPr>
              <w:t>
8) өткізілетін құмар ойындардың түрлері;</w:t>
            </w:r>
          </w:p>
          <w:p>
            <w:pPr>
              <w:spacing w:after="20"/>
              <w:ind w:left="20"/>
              <w:jc w:val="both"/>
            </w:pPr>
            <w:r>
              <w:rPr>
                <w:rFonts w:ascii="Times New Roman"/>
                <w:b w:val="false"/>
                <w:i w:val="false"/>
                <w:color w:val="000000"/>
                <w:sz w:val="20"/>
              </w:rPr>
              <w:t>
9) құмар ойындарда тікелей қолданылатын негізгі терминдер мен анықтамалар;</w:t>
            </w:r>
          </w:p>
          <w:p>
            <w:pPr>
              <w:spacing w:after="20"/>
              <w:ind w:left="20"/>
              <w:jc w:val="both"/>
            </w:pPr>
            <w:r>
              <w:rPr>
                <w:rFonts w:ascii="Times New Roman"/>
                <w:b w:val="false"/>
                <w:i w:val="false"/>
                <w:color w:val="000000"/>
                <w:sz w:val="20"/>
              </w:rPr>
              <w:t>
10) ойын бизнесін ұйымдастырушының және құмар ойынға қатысушының құқықтары мен міндеттері;</w:t>
            </w:r>
          </w:p>
          <w:p>
            <w:pPr>
              <w:spacing w:after="20"/>
              <w:ind w:left="20"/>
              <w:jc w:val="both"/>
            </w:pPr>
            <w:r>
              <w:rPr>
                <w:rFonts w:ascii="Times New Roman"/>
                <w:b w:val="false"/>
                <w:i w:val="false"/>
                <w:color w:val="000000"/>
                <w:sz w:val="20"/>
              </w:rPr>
              <w:t>
11) құмар ойынға қатысу шарттары;</w:t>
            </w:r>
          </w:p>
          <w:p>
            <w:pPr>
              <w:spacing w:after="20"/>
              <w:ind w:left="20"/>
              <w:jc w:val="both"/>
            </w:pPr>
            <w:r>
              <w:rPr>
                <w:rFonts w:ascii="Times New Roman"/>
                <w:b w:val="false"/>
                <w:i w:val="false"/>
                <w:color w:val="000000"/>
                <w:sz w:val="20"/>
              </w:rPr>
              <w:t>
12) құмар ойынды, сондай-ақ ойын сессиясын өткізу тәртібі;</w:t>
            </w:r>
          </w:p>
          <w:p>
            <w:pPr>
              <w:spacing w:after="20"/>
              <w:ind w:left="20"/>
              <w:jc w:val="both"/>
            </w:pPr>
            <w:r>
              <w:rPr>
                <w:rFonts w:ascii="Times New Roman"/>
                <w:b w:val="false"/>
                <w:i w:val="false"/>
                <w:color w:val="000000"/>
                <w:sz w:val="20"/>
              </w:rPr>
              <w:t>
13) құмар ойындарда ставкаларды қабылдау шарттары;</w:t>
            </w:r>
          </w:p>
          <w:p>
            <w:pPr>
              <w:spacing w:after="20"/>
              <w:ind w:left="20"/>
              <w:jc w:val="both"/>
            </w:pPr>
            <w:r>
              <w:rPr>
                <w:rFonts w:ascii="Times New Roman"/>
                <w:b w:val="false"/>
                <w:i w:val="false"/>
                <w:color w:val="000000"/>
                <w:sz w:val="20"/>
              </w:rPr>
              <w:t>
14) құмар ойынға қатысушыға ұтыс төленуге жататын нәтиже;</w:t>
            </w:r>
          </w:p>
          <w:p>
            <w:pPr>
              <w:spacing w:after="20"/>
              <w:ind w:left="20"/>
              <w:jc w:val="both"/>
            </w:pPr>
            <w:r>
              <w:rPr>
                <w:rFonts w:ascii="Times New Roman"/>
                <w:b w:val="false"/>
                <w:i w:val="false"/>
                <w:color w:val="000000"/>
                <w:sz w:val="20"/>
              </w:rPr>
              <w:t>
15) дауларды қарау тәртібі;</w:t>
            </w:r>
          </w:p>
          <w:p>
            <w:pPr>
              <w:spacing w:after="20"/>
              <w:ind w:left="20"/>
              <w:jc w:val="both"/>
            </w:pPr>
            <w:r>
              <w:rPr>
                <w:rFonts w:ascii="Times New Roman"/>
                <w:b w:val="false"/>
                <w:i w:val="false"/>
                <w:color w:val="000000"/>
                <w:sz w:val="20"/>
              </w:rPr>
              <w:t>
16)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мамырдағы</w:t>
            </w:r>
            <w:r>
              <w:br/>
            </w:r>
            <w:r>
              <w:rPr>
                <w:rFonts w:ascii="Times New Roman"/>
                <w:b w:val="false"/>
                <w:i w:val="false"/>
                <w:color w:val="000000"/>
                <w:sz w:val="20"/>
              </w:rPr>
              <w:t>№ 62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11 мамырдағы</w:t>
            </w:r>
            <w:r>
              <w:br/>
            </w:r>
            <w:r>
              <w:rPr>
                <w:rFonts w:ascii="Times New Roman"/>
                <w:b w:val="false"/>
                <w:i w:val="false"/>
                <w:color w:val="000000"/>
                <w:sz w:val="20"/>
              </w:rPr>
              <w:t>№ 124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60" w:id="31"/>
    <w:p>
      <w:pPr>
        <w:spacing w:after="0"/>
        <w:ind w:left="0"/>
        <w:jc w:val="left"/>
      </w:pPr>
      <w:r>
        <w:rPr>
          <w:rFonts w:ascii="Times New Roman"/>
          <w:b/>
          <w:i w:val="false"/>
          <w:color w:val="000000"/>
        </w:rPr>
        <w:t xml:space="preserve"> Бару арқылы профилактикалық бақылау жүргізу үшін букмекерлік кеңселер мен тотализаторлардың қызметін жүзеге асыратын ойын бизнесі саласындағы бақылау субъектілеріне (объектілеріне) қойылатын талаптардың бұзылу дәрежесі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(букмекерлік кеңселер мен тотализаторлардың кассалары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етумен және (немесе) жабдықты (механикалық, электрлік, электрондық немесе өзге де техникалық жабдықты) пайдалану және (немесе) оқиғаны тікелей трансляциялаудан басқа кез келген визуализациялау жолымен туындайтын оқиғаларға бәс тігуді ұйымдастыруға және жүргізуге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және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 букмекерлік кеңселер кассаларының орналасуы бойынша талаптарды сақтамау.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және қойма объектілерінде, ғибадат үйлерінде (ғимараттарында), мемлекеттік органдар мен мекемелердің, білім беру, денсаулық сақтау, мәдениет ұйымдарының, әуежайлардың, вокзалдардың ғимараттарында, қалалық қоғамдық көліктің барлық түрлерінің станциялары мен аялдамаларында орналастыруға тыйым салынады және қала маңындағы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нәтижесіне ставкалар жасалған оқиғаның дамуы мен нәтижесін байқауға, сондай-ақ бәс тігуге қатысушыларға букмекерлік кеңсенің электрондық кассаларына немесе қабылданған ставкалар, төленген және төленбеген ұтыстар туралы ақпаратқа қол жеткізу үшін байланыс қызметтерін қоса алғанда, техникалық құралдарды ұсынуға мүмкіндік беретін жабдықты букмекерлік кеңселердің кассаларынан тыс орналастыруға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кассаларын жазылған ақпараттың кемінде жеті тәулік сақталуын қамтамасыз ететін және бәс тігудің барлық қатысушыларының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немесе аумақтық ішкі істер органының кезекші бөлігінің орталықтандырылған пультіне қосылған букмекерлік кеңселердің кассаларын металл есікпен, брондалған шынымен және дабыл сигнализациясымен жарақтандыру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тігуді ұйымдастыру және өткізу үшін аппараттық-бағдарламалық кешен мен жабдық арқылы міндеттерін сақтамауы жасалған ставкалардың жалпы сомасын қабылдауды, бірыңғай есепке алуды, бәс тігуге қатысушылардың ставкаларын өңдеуді және ұтысты төлеуді жүзеге асыру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аппараттық-бағдарламалық кешенмен жабдықтау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аппараттық-бағдарламалық кешен есептеген коэффициенттер негізінде және аккредиттелген спорт федерациялары немесе халықаралық спорт ұйымдарының, федерациялардың, комитеттердің қамқорлығымен өткізілетін спорттық жарыстар шеңберінде болатын алдағы нақты оқиғаларға ғана ставкаларды қабылдау жөніндегі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ставка қабылданғанға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 серверіне, атап айтқанда бақылау-кассалық машиналардың мемлекеттік тізіліміне енгізілген компьютерлік жүйе болып табылатын бақылау-кассалық машинаны фискалдық режиммен қамтамасыз етуге қойылатын талаптарды сақтамауы. Аппараттық-бағдарламалық кешеннің сервері Қазақстан Республикасының аумағында ойын бизнесін ұйымдастырушының орналасқан жері бойынша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асыратын ойын бизнесін ұйымдастырушының бәс тігу нәтижесінің нұсқаларына ұтыстар коэффициенттерін есептеуді, қабылданған ставкаларды есепке алуды, бәс тігу нәтижелері бойынша ұтыстарды есептеуді, ұтыстарды есепке алуды және олар бойынша төлемдерді аппараттық-бағдарламалық кешен арқылы жүзеге асыру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букмекерлік кеңселер кассаларымен өзара іс-қимылын қамтамасыз ету жөніндегі букмекерлік кеңсенің қызметін жүзеге асыратын ойын бизнесін ұйымдастырушылардың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бақылауды жүзеге асыруға мүмкіндік беретін ақпарат жинауды және беруді жүзеге асыру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бәс тігуге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 мониторингіне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етумен және (немесе) жабдықты (механикалық, электрлік, электрондық немесе өзге де техникалық жабдықты) пайдалану және (немесе) оқиғаны тікелей трансляциялаудан басқа кез келген визуализациялау жолымен туындайтын оқиғаларға бәс тігуді ұйымдастыруға және жүргізуге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деректерде мынадай ақпаратты ұсыну туралы талаптарды сақтамау:</w:t>
            </w:r>
          </w:p>
          <w:p>
            <w:pPr>
              <w:spacing w:after="20"/>
              <w:ind w:left="20"/>
              <w:jc w:val="both"/>
            </w:pPr>
            <w:r>
              <w:rPr>
                <w:rFonts w:ascii="Times New Roman"/>
                <w:b w:val="false"/>
                <w:i w:val="false"/>
                <w:color w:val="000000"/>
                <w:sz w:val="20"/>
              </w:rPr>
              <w:t>
1) бейнежазба жүйелерінің техникалық жай-күйі туралы мәліметтер;</w:t>
            </w:r>
          </w:p>
          <w:p>
            <w:pPr>
              <w:spacing w:after="20"/>
              <w:ind w:left="20"/>
              <w:jc w:val="both"/>
            </w:pPr>
            <w:r>
              <w:rPr>
                <w:rFonts w:ascii="Times New Roman"/>
                <w:b w:val="false"/>
                <w:i w:val="false"/>
                <w:color w:val="000000"/>
                <w:sz w:val="20"/>
              </w:rPr>
              <w:t>
2) кассалар тізімі және қызметкерлер саны туралы мәліметтер;</w:t>
            </w:r>
          </w:p>
          <w:p>
            <w:pPr>
              <w:spacing w:after="20"/>
              <w:ind w:left="20"/>
              <w:jc w:val="both"/>
            </w:pPr>
            <w:r>
              <w:rPr>
                <w:rFonts w:ascii="Times New Roman"/>
                <w:b w:val="false"/>
                <w:i w:val="false"/>
                <w:color w:val="000000"/>
                <w:sz w:val="20"/>
              </w:rPr>
              <w:t>
3) қызмет түрінен төленген салықтың жалпы сомасы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үй-жайларда тотализатор кассаларының орналасуы бойынша талаптарды сақтамау.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және қойма объектілерінде, ғибадат үйлерінде (ғимараттарында), мемлекеттік органдар мен мекемелердің, білім беру, денсаулық сақтау, мәдениет ұйымдарының, әуежайлардың, вокзалдардың ғимараттарында, қалалық қоғамдық көліктің барлық түрлерінің станциялары мен аялдамаларында орналастыруға тыйым салынады және қала маңындағы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 тігуге қатысушыларға нәтижесіне ставкалар жасалған оқиғаның дамуы мен нәтижесін байқауға, сондай-ақ бәс тігуге қатысушыларға тотализатордың электрондық кассаларына немесе қабылданған ставкалар, төленген және төленбеген ұтыстар туралы ақпаратқа қол жеткізу үшін байланыс қызметтерін қоса алғанда, техникалық құралдарды ұсынуға мүмкіндік беретін жабдықты тотализаторлардың кассаларынан тыс орналастыруға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кассаларын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кассаларын жеке күзет ұйымының немесе аумақтық ішкі істер органының кезекші бөлігінің орталықтандырылған пультіне қосылған металл есікпен, брондалған шынымен және дабыл сигнализациясымен жарақтандыру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бәс тігуді ұйымдастыру және өткізу үшін аппараттық-бағдарламалық кешен мен жабдық арқылы міндеттерін сақтамауы жасалған ставкалардың жалпы сомасын қабылдауды, бірыңғай есепке алуды, бәс тігуге қатысушылардың ставкаларын өңдеуді және ұтысты төлеуді жүзеге асыру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отализатор қызметін жүзеге асыратын ойын бизнесін ұйымдастырушының ат спорты жарыстары (ат жарысы, жүгіру) және (немесе) Ит жарысы шеңберінде болатын алдағы нақты оқиғаларға ставкаларды қабылдау жөніндегі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жөніндегі талаптарды сақтамау, атап айтқанда:</w:t>
            </w:r>
          </w:p>
          <w:p>
            <w:pPr>
              <w:spacing w:after="20"/>
              <w:ind w:left="20"/>
              <w:jc w:val="both"/>
            </w:pPr>
            <w:r>
              <w:rPr>
                <w:rFonts w:ascii="Times New Roman"/>
                <w:b w:val="false"/>
                <w:i w:val="false"/>
                <w:color w:val="000000"/>
                <w:sz w:val="20"/>
              </w:rPr>
              <w:t>
1) Қаржылық мониторингке жататын ақшамен және (немесе) өзге мүлікпен операциялар, оның ішінде күдікті операциялар жүзеге асырылған жағдайда өз клиенттерін (олардың өкілдерін) және бенефициарлық меншік иелерін тиісті тексеруді жүзеге асыру;</w:t>
            </w:r>
          </w:p>
          <w:p>
            <w:pPr>
              <w:spacing w:after="20"/>
              <w:ind w:left="20"/>
              <w:jc w:val="both"/>
            </w:pPr>
            <w:r>
              <w:rPr>
                <w:rFonts w:ascii="Times New Roman"/>
                <w:b w:val="false"/>
                <w:i w:val="false"/>
                <w:color w:val="000000"/>
                <w:sz w:val="20"/>
              </w:rPr>
              <w:t>
2) өз клиенттеріне (олардың өкілдеріне) және бенефициарлық меншік иелеріне тиісті тексеру жүргізу кезінде мынадай шараларды жүзеге асыру: жеке тұлғаны сәйкестендіру үшін қажетті мәліметтерді: оның жеке басын куәландыратын құжаттың деректерін, жеке сәйкестендіру нөмірін (жеке тұлғаға жеке сәйкестендіру нөмірі берілмеген жағдайларды қоспағанда), сондай-ақ заңды мекенжайын тіркеу; клиент (оның өкілі) және бенефициарлық меншік иесі туралы мәліметтерді жаңарту;</w:t>
            </w:r>
          </w:p>
          <w:p>
            <w:pPr>
              <w:spacing w:after="20"/>
              <w:ind w:left="20"/>
              <w:jc w:val="both"/>
            </w:pPr>
            <w:r>
              <w:rPr>
                <w:rFonts w:ascii="Times New Roman"/>
                <w:b w:val="false"/>
                <w:i w:val="false"/>
                <w:color w:val="000000"/>
                <w:sz w:val="20"/>
              </w:rPr>
              <w:t>
3) ішкі бақылау қағидаларына сәйкес өз клиенттерін (олардың өкілдерін) және бенефициарлық меншік иелерін тиісті тексеруді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ұйымдастырушылардың аппараттық-бағдарламалық кешенмен жабдықтау жөніндегі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ставка қабылданғанға дейін қатысушының жеке басын анықтауға мүмкіндік беретін деректерді енгізе отырып, аппараттық-бағдарламалық кешен арқылы бәс тігуге қатысушыны тіркеуді жүргізу міндетін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аппараттық-бағдарламалық кешен серверіне, атап айтқанда бақылау-кассалық машиналардың мемлекеттік тізіліміне енгізілген компьютерлік жүйе болып табылатын бақылау-кассалық машинаны фискалдық режиммен қамтамасыз етуге қойылатын талаптарды сақтамауы. Аппараттық-бағдарламалық кешеннің сервері Қазақстан Республикасының аумағында ойын бизнесін ұйымдастырушының орналасқан жері бойынша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қызметін жүзеге асыратын ойын бизнесін ұйымдастырушының бәс тігу нәтижесінің нұсқаларына ұтыстар коэффициенттерін есептеуді, қабылданған ставкаларды есепке алуды, бәс тігу нәтижелері бойынша ұтыстарды есептеуді, ұтыстарды есепке алуды және олар бойынша төлемдерді аппараттық-бағдарламалық кешен арқылы жүзеге асыру жөніндегі талапты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тотализаторлар кассаларымен өзара іс-қимылын қамтамасыз ету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сақталуын бақылауды жүзеге асыруға мүмкіндік беретін ақпарат жинауды және беруді жүзеге асыру жөніндегі тотализатордың қызметін жүзеге асыратын ойын бизнесін ұйымдастырушылардың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бір жасқа дейінгі жеке тұлғалардың, сондай-ақ құмар ойындарға және (немесе) бәс тігуге қатысуға шектелген адамдардың бәс тігуге қатысуына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тіркеу, мәліметтер мен құжаттарды сақтау, құжаттарды қорғау бөлігінде қылмыстық жолмен алынған кірістерді заңдастыруға (жылыстатуға) және терроризмді қаржыландыруға қарсы іс-қимыл жөніндегі шараларды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қаржылық мониторингке жататын ақшамен және (немесе) мүлікпен жасалатын операциялар туралы ақпаратты (шекті сомаға тең немесе одан асатын операция) ұсынбау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типологияларға, қылмыстық кірістерді заңдастыру (жылыстату) және терроризмді қаржыландыру тәсілдеріне сәйкес келетін сипаттамалары бар клиенттің операциялары туралы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(операция күдікті деп танылған кезде мұндай операция жүргізілгенге дейін оны дереу қаржы мониторингі жөніндегі уәкілетті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органға күдікті операциялар туралы ақпаратты ұсынбау (олар жүргізілгенге дейін күдікті деп танылмаған, бақылау субъектісінің ішкі бақылау қағидаларына сәйкес операция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 мақсатында ішкі бақылау қағидаларының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қағидаларында мынадай бағдарламалардың болмауы:</w:t>
            </w:r>
          </w:p>
          <w:p>
            <w:pPr>
              <w:spacing w:after="20"/>
              <w:ind w:left="20"/>
              <w:jc w:val="both"/>
            </w:pPr>
            <w:r>
              <w:rPr>
                <w:rFonts w:ascii="Times New Roman"/>
                <w:b w:val="false"/>
                <w:i w:val="false"/>
                <w:color w:val="000000"/>
                <w:sz w:val="20"/>
              </w:rPr>
              <w:t>
қаржы мониторингі субъектісінің басшы қызметкерлері немесе тиісті құрылымдық бөлімше басшысының деңгейінен төмен емес қаржы мониторингі субъектісінің өзге де басшылары қатарынан ішкі бақылау қағидаларын іске асыруға және сақтауға жауапты адамды тағайындау туралы талапты, сондай-ақ ішкі бақылау қағидаларын іске асыруға және сақтауға жауапты қаржы мониторингі субъектілерінің қызметкерлеріне қойылатын өзге де талаптарды қоса алғанда, ішкі бақылауды ұйымдастыру бағдарламасы бақылау, оның ішінде мінсіз іскерлік беделдің болуы туралы; клиенттердің тәуекелдерін және технологиялық жетістіктерді пайдалану тәуекелін қоса алғанда, қызметтерді қылмыстық мақсатта пайдалану тәуекелдерін ескеретін тәуекелдерді басқару бағдарламасы;</w:t>
            </w:r>
          </w:p>
          <w:p>
            <w:pPr>
              <w:spacing w:after="20"/>
              <w:ind w:left="20"/>
              <w:jc w:val="both"/>
            </w:pPr>
            <w:r>
              <w:rPr>
                <w:rFonts w:ascii="Times New Roman"/>
                <w:b w:val="false"/>
                <w:i w:val="false"/>
                <w:color w:val="000000"/>
                <w:sz w:val="20"/>
              </w:rPr>
              <w:t>
клиенттерді сәйкестендіру бағдарламасы; клиенттердің операцияларын бақылау және зерттеу бағдарламасы, оның ішінде клиенттердің күрделі, әдеттен тыс үлкен операцияларын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іскерлік қатынастар орнатудан және ақшамен және (немесе) мүлікпен операциялар жүргізуден бас тарту және (немесе) қаржы мониторингі жөніндегі уәкілетті органға іскерлік қатынастар орнатудан және ақшамен және (немесе) мүлікпен операциялар жүргізуден бас тарту туралы ақпарат бермеу жөніндегі міндеттерді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Ақшамен және (немесе) мүлікпен операцияларды мұздату жөнінде шаралар қолданбау және (немесе) қаржы мониторингі жөніндегі уәкілетті органға ақшамен және (немесе) мүлікпен операцияларды мұздату жөніндегі шаралар туралы ақпарат ұсынбау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мамырдағы</w:t>
            </w:r>
            <w:r>
              <w:br/>
            </w:r>
            <w:r>
              <w:rPr>
                <w:rFonts w:ascii="Times New Roman"/>
                <w:b w:val="false"/>
                <w:i w:val="false"/>
                <w:color w:val="000000"/>
                <w:sz w:val="20"/>
              </w:rPr>
              <w:t>№ 62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11 мамырдағы</w:t>
            </w:r>
            <w:r>
              <w:br/>
            </w:r>
            <w:r>
              <w:rPr>
                <w:rFonts w:ascii="Times New Roman"/>
                <w:b w:val="false"/>
                <w:i w:val="false"/>
                <w:color w:val="000000"/>
                <w:sz w:val="20"/>
              </w:rPr>
              <w:t>№ 124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63" w:id="32"/>
    <w:p>
      <w:pPr>
        <w:spacing w:after="0"/>
        <w:ind w:left="0"/>
        <w:jc w:val="left"/>
      </w:pPr>
      <w:r>
        <w:rPr>
          <w:rFonts w:ascii="Times New Roman"/>
          <w:b/>
          <w:i w:val="false"/>
          <w:color w:val="000000"/>
        </w:rPr>
        <w:t xml:space="preserve"> Біліктілік талаптарына сәйкестігіне тексеру жүргізу үшін букмекерлік кеңселер мен тотализаторлардың қызметін жүзеге асыратын ойын бизнесі саласындағы бақылау субъектілеріне (объектілеріне) қойылатын талаптардың бұзылу дәрежесі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букмекерлік кеңселердің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40000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тотализаторлардың қызметін жүзеге асыру үшін банктік салым шартын жасасу кезінде ашылған банктік шоттар бойынша ақшаның болуы туралы мәліметтердің болмауы (міндетті резервтің мөлшері 10000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букмекерлік кеңселердің қызметін жүзеге асыру үшін банктік салым шартын жасасу кезінде ашылған банктік шоттар бойынша ақша қозғалысы туралы мәліметтердің болмауы (міндетті резервтің мөлшері 40000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анықтамаларда тотализатордың қызметін жүзеге асыру үшін банктік салым шартын жасасу кезінде ашылған банктік шоттар бойынша ақша қозғалысы туралы мәліметтердің болмауы (міндетті резервтің мөлшері 10000 айлық есептік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уәкілетті органға банктік салым шартын жасасу кезінде ашылған банктік шоттар бойынша ақшаның болуы және қозғалысы туралы анықтаманы кемінде үш айда бір рет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кеңселердің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қызметін жүзеге асыру үшін меншік құқығында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үшін меншік құқығында бәс тігуді ұйымдастыру және өткізу үшін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букмекерлік кеңселердің қызметін жүзеге асыру үшін 40000 айлық есептік көрсеткіш мөлшерінде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кассасында, сондай-ақ ойын бизнесін ұйымдастырушының интернет-ресурсында (бар болса) көрнекті жерде орналастырылған букмекерлік кеңсенің жұмысының, ставкаларды қабылдаудың және қазақ және орыс тілдерінде бәс тігудің әзірленген қағидаларының болмауы, олар мынадай мәліметтерді қамтуға тиіс:</w:t>
            </w:r>
          </w:p>
          <w:p>
            <w:pPr>
              <w:spacing w:after="20"/>
              <w:ind w:left="20"/>
              <w:jc w:val="both"/>
            </w:pPr>
            <w:r>
              <w:rPr>
                <w:rFonts w:ascii="Times New Roman"/>
                <w:b w:val="false"/>
                <w:i w:val="false"/>
                <w:color w:val="000000"/>
                <w:sz w:val="20"/>
              </w:rPr>
              <w:t>
1) букмекерлік кеңсенің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бәс тігудің шамадан тыс құмарлығының зияны туралы ескерту;</w:t>
            </w:r>
          </w:p>
          <w:p>
            <w:pPr>
              <w:spacing w:after="20"/>
              <w:ind w:left="20"/>
              <w:jc w:val="both"/>
            </w:pPr>
            <w:r>
              <w:rPr>
                <w:rFonts w:ascii="Times New Roman"/>
                <w:b w:val="false"/>
                <w:i w:val="false"/>
                <w:color w:val="000000"/>
                <w:sz w:val="20"/>
              </w:rPr>
              <w:t>
5) бәс тігуге қатысуды дербес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және байланыс телефондарының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түрлері;</w:t>
            </w:r>
          </w:p>
          <w:p>
            <w:pPr>
              <w:spacing w:after="20"/>
              <w:ind w:left="20"/>
              <w:jc w:val="both"/>
            </w:pPr>
            <w:r>
              <w:rPr>
                <w:rFonts w:ascii="Times New Roman"/>
                <w:b w:val="false"/>
                <w:i w:val="false"/>
                <w:color w:val="000000"/>
                <w:sz w:val="20"/>
              </w:rPr>
              <w:t>
9) бәс тігуге қатысушылар бәс тігетін оқиғаның нәтижесін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қолданылатын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ұйымдастырушының және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 сондай-ақ ойын сессиясын өткізу тәртібі;</w:t>
            </w:r>
          </w:p>
          <w:p>
            <w:pPr>
              <w:spacing w:after="20"/>
              <w:ind w:left="20"/>
              <w:jc w:val="both"/>
            </w:pPr>
            <w:r>
              <w:rPr>
                <w:rFonts w:ascii="Times New Roman"/>
                <w:b w:val="false"/>
                <w:i w:val="false"/>
                <w:color w:val="000000"/>
                <w:sz w:val="20"/>
              </w:rPr>
              <w:t>
14) ставкаларды бәс тігуге қабылдау шарттары;</w:t>
            </w:r>
          </w:p>
          <w:p>
            <w:pPr>
              <w:spacing w:after="20"/>
              <w:ind w:left="20"/>
              <w:jc w:val="both"/>
            </w:pPr>
            <w:r>
              <w:rPr>
                <w:rFonts w:ascii="Times New Roman"/>
                <w:b w:val="false"/>
                <w:i w:val="false"/>
                <w:color w:val="000000"/>
                <w:sz w:val="20"/>
              </w:rPr>
              <w:t>
15) бәс тігуге қатысушыға ұтыс төленуге жататын нәтиже;</w:t>
            </w:r>
          </w:p>
          <w:p>
            <w:pPr>
              <w:spacing w:after="20"/>
              <w:ind w:left="20"/>
              <w:jc w:val="both"/>
            </w:pPr>
            <w:r>
              <w:rPr>
                <w:rFonts w:ascii="Times New Roman"/>
                <w:b w:val="false"/>
                <w:i w:val="false"/>
                <w:color w:val="000000"/>
                <w:sz w:val="20"/>
              </w:rPr>
              <w:t>
16) дауларды қарау тәртібі;</w:t>
            </w:r>
          </w:p>
          <w:p>
            <w:pPr>
              <w:spacing w:after="20"/>
              <w:ind w:left="20"/>
              <w:jc w:val="both"/>
            </w:pPr>
            <w:r>
              <w:rPr>
                <w:rFonts w:ascii="Times New Roman"/>
                <w:b w:val="false"/>
                <w:i w:val="false"/>
                <w:color w:val="000000"/>
                <w:sz w:val="20"/>
              </w:rPr>
              <w:t>
17)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Тотализаторлардың қызметін жүзеге асыратын субъектілер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қызметін жүзеге асыру үшін меншік құқығында ғимараттың (ғимараттың, құрылыстың, құрылыстың бір бөлігінің)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рұқсат беру құжатының болмауы (эпидемиялық маңызы жоғары объектілер үшін-санитариялық-эпидемиологиялық қорытынды алу, эпидемиялық маңызы шамалы объектілер үшін-қызметтің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қызметін жүзеге асыру үшін меншік құқығында бәс тігуді ұйымдастыру және өткізу үшін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асыруға лицензия алған заңды тұлғалармен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ұйымдастырушылардың 10000 айлық есептік көрсеткіш мөлшерінде тотализаторлардың қызметін жүзеге асыру үшін міндетті резервтерге қойылатын талаптарды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Тотализатордың кассасында, сондай-ақ ойын бизнесін ұйымдастырушының интернет-ресурсында (бар болса) көрнекті жерде орналастырылған, қазақ және орыс тілдерінде тотализатор жұмысының, ставкаларды қабылдаудың және бәс тігудің әзірленген қағидаларының болмауы, олар мынадай мәліметтерді қамтуы тиіс:</w:t>
            </w:r>
          </w:p>
          <w:p>
            <w:pPr>
              <w:spacing w:after="20"/>
              <w:ind w:left="20"/>
              <w:jc w:val="both"/>
            </w:pPr>
            <w:r>
              <w:rPr>
                <w:rFonts w:ascii="Times New Roman"/>
                <w:b w:val="false"/>
                <w:i w:val="false"/>
                <w:color w:val="000000"/>
                <w:sz w:val="20"/>
              </w:rPr>
              <w:t>
1) тотализатордың атауы;</w:t>
            </w:r>
          </w:p>
          <w:p>
            <w:pPr>
              <w:spacing w:after="20"/>
              <w:ind w:left="20"/>
              <w:jc w:val="both"/>
            </w:pPr>
            <w:r>
              <w:rPr>
                <w:rFonts w:ascii="Times New Roman"/>
                <w:b w:val="false"/>
                <w:i w:val="false"/>
                <w:color w:val="000000"/>
                <w:sz w:val="20"/>
              </w:rPr>
              <w:t>
2) орналасқан жері, банктік деректемелері, сәйкестендіру нөмірі, интернет-ресурсы (бар болса) көрсетілген ойын бизнесін ұйымдастырушының атауы;</w:t>
            </w:r>
          </w:p>
          <w:p>
            <w:pPr>
              <w:spacing w:after="20"/>
              <w:ind w:left="20"/>
              <w:jc w:val="both"/>
            </w:pPr>
            <w:r>
              <w:rPr>
                <w:rFonts w:ascii="Times New Roman"/>
                <w:b w:val="false"/>
                <w:i w:val="false"/>
                <w:color w:val="000000"/>
                <w:sz w:val="20"/>
              </w:rPr>
              <w:t>
3) Қазақстан Республикасында ойын бизнесі саласындағы қызметпен айналысу құқығына лицензия, оның қолданылу мерзімі туралы ақпарат;</w:t>
            </w:r>
          </w:p>
          <w:p>
            <w:pPr>
              <w:spacing w:after="20"/>
              <w:ind w:left="20"/>
              <w:jc w:val="both"/>
            </w:pPr>
            <w:r>
              <w:rPr>
                <w:rFonts w:ascii="Times New Roman"/>
                <w:b w:val="false"/>
                <w:i w:val="false"/>
                <w:color w:val="000000"/>
                <w:sz w:val="20"/>
              </w:rPr>
              <w:t>
4) бәс тігудің шамадан тыс құмарлығының зияны туралы ескерту;</w:t>
            </w:r>
          </w:p>
          <w:p>
            <w:pPr>
              <w:spacing w:after="20"/>
              <w:ind w:left="20"/>
              <w:jc w:val="both"/>
            </w:pPr>
            <w:r>
              <w:rPr>
                <w:rFonts w:ascii="Times New Roman"/>
                <w:b w:val="false"/>
                <w:i w:val="false"/>
                <w:color w:val="000000"/>
                <w:sz w:val="20"/>
              </w:rPr>
              <w:t>
5) бәс тігуге қатысуды дербес шектеу тәртібі;</w:t>
            </w:r>
          </w:p>
          <w:p>
            <w:pPr>
              <w:spacing w:after="20"/>
              <w:ind w:left="20"/>
              <w:jc w:val="both"/>
            </w:pPr>
            <w:r>
              <w:rPr>
                <w:rFonts w:ascii="Times New Roman"/>
                <w:b w:val="false"/>
                <w:i w:val="false"/>
                <w:color w:val="000000"/>
                <w:sz w:val="20"/>
              </w:rPr>
              <w:t>
6) бәс тігуге қатысушыларға, сондай-ақ олардың жақын туыстарына психологиялық көмек көрсететін мамандардың (мекемелердің, ұйымдардың, қызметтердің) орналасқан жері және байланыс телефондарының нөмірлері;</w:t>
            </w:r>
          </w:p>
          <w:p>
            <w:pPr>
              <w:spacing w:after="20"/>
              <w:ind w:left="20"/>
              <w:jc w:val="both"/>
            </w:pPr>
            <w:r>
              <w:rPr>
                <w:rFonts w:ascii="Times New Roman"/>
                <w:b w:val="false"/>
                <w:i w:val="false"/>
                <w:color w:val="000000"/>
                <w:sz w:val="20"/>
              </w:rPr>
              <w:t>
7) бәс тігуге қатысушының жеке басын анықтау тәртібі;</w:t>
            </w:r>
          </w:p>
          <w:p>
            <w:pPr>
              <w:spacing w:after="20"/>
              <w:ind w:left="20"/>
              <w:jc w:val="both"/>
            </w:pPr>
            <w:r>
              <w:rPr>
                <w:rFonts w:ascii="Times New Roman"/>
                <w:b w:val="false"/>
                <w:i w:val="false"/>
                <w:color w:val="000000"/>
                <w:sz w:val="20"/>
              </w:rPr>
              <w:t>
8) өткізілетін бәс түрлері;</w:t>
            </w:r>
          </w:p>
          <w:p>
            <w:pPr>
              <w:spacing w:after="20"/>
              <w:ind w:left="20"/>
              <w:jc w:val="both"/>
            </w:pPr>
            <w:r>
              <w:rPr>
                <w:rFonts w:ascii="Times New Roman"/>
                <w:b w:val="false"/>
                <w:i w:val="false"/>
                <w:color w:val="000000"/>
                <w:sz w:val="20"/>
              </w:rPr>
              <w:t>
9) бәс тігуге қатысушылар бәс тігетін оқиғаның нәтижесін анықтау үшін пайдаланылатын ақпарат көздерінің тізбесі;</w:t>
            </w:r>
          </w:p>
          <w:p>
            <w:pPr>
              <w:spacing w:after="20"/>
              <w:ind w:left="20"/>
              <w:jc w:val="both"/>
            </w:pPr>
            <w:r>
              <w:rPr>
                <w:rFonts w:ascii="Times New Roman"/>
                <w:b w:val="false"/>
                <w:i w:val="false"/>
                <w:color w:val="000000"/>
                <w:sz w:val="20"/>
              </w:rPr>
              <w:t>
10) бәс тігуде тікелей қолданылатын негізгі терминдер мен анықтамалар;</w:t>
            </w:r>
          </w:p>
          <w:p>
            <w:pPr>
              <w:spacing w:after="20"/>
              <w:ind w:left="20"/>
              <w:jc w:val="both"/>
            </w:pPr>
            <w:r>
              <w:rPr>
                <w:rFonts w:ascii="Times New Roman"/>
                <w:b w:val="false"/>
                <w:i w:val="false"/>
                <w:color w:val="000000"/>
                <w:sz w:val="20"/>
              </w:rPr>
              <w:t>
11) ойын бизнесін ұйымдастырушының және бәс тігуге қатысушының құқықтары мен міндеттері;</w:t>
            </w:r>
          </w:p>
          <w:p>
            <w:pPr>
              <w:spacing w:after="20"/>
              <w:ind w:left="20"/>
              <w:jc w:val="both"/>
            </w:pPr>
            <w:r>
              <w:rPr>
                <w:rFonts w:ascii="Times New Roman"/>
                <w:b w:val="false"/>
                <w:i w:val="false"/>
                <w:color w:val="000000"/>
                <w:sz w:val="20"/>
              </w:rPr>
              <w:t>
12) бәс тігуге қатысу шарттары;</w:t>
            </w:r>
          </w:p>
          <w:p>
            <w:pPr>
              <w:spacing w:after="20"/>
              <w:ind w:left="20"/>
              <w:jc w:val="both"/>
            </w:pPr>
            <w:r>
              <w:rPr>
                <w:rFonts w:ascii="Times New Roman"/>
                <w:b w:val="false"/>
                <w:i w:val="false"/>
                <w:color w:val="000000"/>
                <w:sz w:val="20"/>
              </w:rPr>
              <w:t>
13) бәс тігу, сондай-ақ ойын сессиясын өткізу тәртібі;</w:t>
            </w:r>
          </w:p>
          <w:p>
            <w:pPr>
              <w:spacing w:after="20"/>
              <w:ind w:left="20"/>
              <w:jc w:val="both"/>
            </w:pPr>
            <w:r>
              <w:rPr>
                <w:rFonts w:ascii="Times New Roman"/>
                <w:b w:val="false"/>
                <w:i w:val="false"/>
                <w:color w:val="000000"/>
                <w:sz w:val="20"/>
              </w:rPr>
              <w:t>
14) ставкаларды бәс тігуге қабылдау шарттары;</w:t>
            </w:r>
          </w:p>
          <w:p>
            <w:pPr>
              <w:spacing w:after="20"/>
              <w:ind w:left="20"/>
              <w:jc w:val="both"/>
            </w:pPr>
            <w:r>
              <w:rPr>
                <w:rFonts w:ascii="Times New Roman"/>
                <w:b w:val="false"/>
                <w:i w:val="false"/>
                <w:color w:val="000000"/>
                <w:sz w:val="20"/>
              </w:rPr>
              <w:t>
15) бәс тігуді ұйымдастырудағы делдалдығы үшін тотализатордың қызметін жүзеге асыратын ойын бизнесін ұйымдастырушының сыйақысының (комиссиясының) мөлшері;</w:t>
            </w:r>
          </w:p>
          <w:p>
            <w:pPr>
              <w:spacing w:after="20"/>
              <w:ind w:left="20"/>
              <w:jc w:val="both"/>
            </w:pPr>
            <w:r>
              <w:rPr>
                <w:rFonts w:ascii="Times New Roman"/>
                <w:b w:val="false"/>
                <w:i w:val="false"/>
                <w:color w:val="000000"/>
                <w:sz w:val="20"/>
              </w:rPr>
              <w:t>
16) бәс тігуге қатысушыға ұтыс төленуге жататын нәтиже;</w:t>
            </w:r>
          </w:p>
          <w:p>
            <w:pPr>
              <w:spacing w:after="20"/>
              <w:ind w:left="20"/>
              <w:jc w:val="both"/>
            </w:pPr>
            <w:r>
              <w:rPr>
                <w:rFonts w:ascii="Times New Roman"/>
                <w:b w:val="false"/>
                <w:i w:val="false"/>
                <w:color w:val="000000"/>
                <w:sz w:val="20"/>
              </w:rPr>
              <w:t>
17) дауларды қарау тәртібі;</w:t>
            </w:r>
          </w:p>
          <w:p>
            <w:pPr>
              <w:spacing w:after="20"/>
              <w:ind w:left="20"/>
              <w:jc w:val="both"/>
            </w:pPr>
            <w:r>
              <w:rPr>
                <w:rFonts w:ascii="Times New Roman"/>
                <w:b w:val="false"/>
                <w:i w:val="false"/>
                <w:color w:val="000000"/>
                <w:sz w:val="20"/>
              </w:rPr>
              <w:t>
18)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мамырдағы</w:t>
            </w:r>
            <w:r>
              <w:br/>
            </w:r>
            <w:r>
              <w:rPr>
                <w:rFonts w:ascii="Times New Roman"/>
                <w:b w:val="false"/>
                <w:i w:val="false"/>
                <w:color w:val="000000"/>
                <w:sz w:val="20"/>
              </w:rPr>
              <w:t>№ 62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11 мамырдағы</w:t>
            </w:r>
            <w:r>
              <w:br/>
            </w:r>
            <w:r>
              <w:rPr>
                <w:rFonts w:ascii="Times New Roman"/>
                <w:b w:val="false"/>
                <w:i w:val="false"/>
                <w:color w:val="000000"/>
                <w:sz w:val="20"/>
              </w:rPr>
              <w:t>№ 124 бірлескен бүйрыққа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66" w:id="33"/>
    <w:p>
      <w:pPr>
        <w:spacing w:after="0"/>
        <w:ind w:left="0"/>
        <w:jc w:val="left"/>
      </w:pPr>
      <w:r>
        <w:rPr>
          <w:rFonts w:ascii="Times New Roman"/>
          <w:b/>
          <w:i w:val="false"/>
          <w:color w:val="000000"/>
        </w:rPr>
        <w:t xml:space="preserve"> Казино мен ойын автоматтары залдарының қызметін жүзеге асыратын ойын бизнесін ұйымдастырушылар үшін Қазақстан Республикасының ойын бизнесі туралы заңнамасының сақталуына субъективті өлшемшарттар бойынша тәуекел дәрежесін айқындау үшін субъективті өлшемшарттар тізбесі</w:t>
      </w:r>
    </w:p>
    <w:bookmarkEnd w:id="33"/>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(ойын мекемелерінің кассалары мен ойын орындары жазылған ақпараттың кемінде жеті тәулік сақталуын қамтамасыз ететін және құмар ойынға қатысушылардың барлығының әрекетін тіркейтін бейнежазба жүйелерімен жабдықталуы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рұқсат беру талаптарына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автоматына технологиялық салынған ұтыстың белгіленген пайызы туралы мәліметтердің болмауы (ойын автоматына технологиялық салынған ұтыстың пайызы тоқсан бес пайыздан төмен болмауы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(бір казинода кемінде отыз ойын үстелі орнатылуы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ұсынған есептілігі нысанында ойын үстелдерінің санының өзгеруі, лицензия алған кезде көрсетілген жабдықты ауыстыру туралы мәліметтердің болмауы (ойын автоматтарының бір залында кемінде алпыс ойын автоматы орнатылуы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12 мамырдағы</w:t>
            </w:r>
            <w:r>
              <w:br/>
            </w:r>
            <w:r>
              <w:rPr>
                <w:rFonts w:ascii="Times New Roman"/>
                <w:b w:val="false"/>
                <w:i w:val="false"/>
                <w:color w:val="000000"/>
                <w:sz w:val="20"/>
              </w:rPr>
              <w:t>№ 62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11 мамырдағы</w:t>
            </w:r>
            <w:r>
              <w:br/>
            </w:r>
            <w:r>
              <w:rPr>
                <w:rFonts w:ascii="Times New Roman"/>
                <w:b w:val="false"/>
                <w:i w:val="false"/>
                <w:color w:val="000000"/>
                <w:sz w:val="20"/>
              </w:rPr>
              <w:t>№ 124 бірлескен бүйрыққа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ойын бизнесі туралы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69" w:id="34"/>
    <w:p>
      <w:pPr>
        <w:spacing w:after="0"/>
        <w:ind w:left="0"/>
        <w:jc w:val="left"/>
      </w:pPr>
      <w:r>
        <w:rPr>
          <w:rFonts w:ascii="Times New Roman"/>
          <w:b/>
          <w:i w:val="false"/>
          <w:color w:val="000000"/>
        </w:rPr>
        <w:t xml:space="preserve"> Букмекерлік кеңселер мен тотализаторлардың қызметін жүзеге асыратын ойын бизнесін ұйымдастырушылар үшін Қазақстан Республикасының ойын бизнесі туралы заңнамасының сақталуына субъективті өлшемшарттар бойынша тәуекел дәрежесін айқындау үшін субъективті өлшемшарттар тізбесі</w:t>
      </w:r>
    </w:p>
    <w:bookmarkEnd w:id="34"/>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ұсынылған есептілігі нысанында бейнежазба жүйелерінің техникалық жай-күйі туралы мәліметтердің болмауы (букмекерлік кеңселер мен тотализаторлардың кассалары жазылған ақпаратты кемінде жеті тәулік сақтауды қамтамасыз ететін және бәс тігудің барлық қатысушыларының әрекеттерін тіркейтін бейнежазба жүйелерімен жабдықталуы тиіс)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рұқсат беру талаптарына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олар тапсырылған күннен кейінгі күннен бастап он жұмыс күні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