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47a7" w14:textId="f304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11 мамырдағы № 124 және Қазақстан Республикасы Ұлттық экономика министрінің 2023 жылғы 12 мамырдағы № 62 бірлескен бұйрығы. Қазақстан Республикасының Әділет министрлігінде 2023 жылғы 15 мамырда № 32492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14313 болып тіркелген) келесі өзгерістер мен толықтырулар: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1-қосымшаға сәйкес Қазақстан Республикасының ойын бизнесі туралы заңнамасын сақтаудың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мынадай мазмұндағы 2-1) тармақшамен толықтырылсын:</w:t>
      </w:r>
    </w:p>
    <w:bookmarkEnd w:id="1"/>
    <w:bookmarkStart w:name="z6" w:id="2"/>
    <w:p>
      <w:pPr>
        <w:spacing w:after="0"/>
        <w:ind w:left="0"/>
        <w:jc w:val="both"/>
      </w:pPr>
      <w:r>
        <w:rPr>
          <w:rFonts w:ascii="Times New Roman"/>
          <w:b w:val="false"/>
          <w:i w:val="false"/>
          <w:color w:val="000000"/>
          <w:sz w:val="28"/>
        </w:rPr>
        <w:t>
      "2-1) балл – тәуекелді есептеудің сандық өлшемі;";</w:t>
      </w:r>
    </w:p>
    <w:bookmarkEnd w:id="2"/>
    <w:bookmarkStart w:name="z7" w:id="3"/>
    <w:p>
      <w:pPr>
        <w:spacing w:after="0"/>
        <w:ind w:left="0"/>
        <w:jc w:val="both"/>
      </w:pPr>
      <w:r>
        <w:rPr>
          <w:rFonts w:ascii="Times New Roman"/>
          <w:b w:val="false"/>
          <w:i w:val="false"/>
          <w:color w:val="000000"/>
          <w:sz w:val="28"/>
        </w:rPr>
        <w:t>
      мынадай мазмұндағы 4-1) тармақшамен толықтырылсын:</w:t>
      </w:r>
    </w:p>
    <w:bookmarkEnd w:id="3"/>
    <w:bookmarkStart w:name="z8" w:id="4"/>
    <w:p>
      <w:pPr>
        <w:spacing w:after="0"/>
        <w:ind w:left="0"/>
        <w:jc w:val="both"/>
      </w:pPr>
      <w:r>
        <w:rPr>
          <w:rFonts w:ascii="Times New Roman"/>
          <w:b w:val="false"/>
          <w:i w:val="false"/>
          <w:color w:val="000000"/>
          <w:sz w:val="28"/>
        </w:rPr>
        <w:t>
      "4-1) деректерді қалыпқа келтіру – әртүрлі шкалаларда өлшенген мәндерді шартты жалпы шкалаға келтіруді көздейтін статистикалық рәсім;";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біліктілік талаптарға сәйкестігін тексеруден босату процесі;";</w:t>
      </w:r>
    </w:p>
    <w:bookmarkEnd w:id="5"/>
    <w:bookmarkStart w:name="z11" w:id="6"/>
    <w:p>
      <w:pPr>
        <w:spacing w:after="0"/>
        <w:ind w:left="0"/>
        <w:jc w:val="both"/>
      </w:pPr>
      <w:r>
        <w:rPr>
          <w:rFonts w:ascii="Times New Roman"/>
          <w:b w:val="false"/>
          <w:i w:val="false"/>
          <w:color w:val="000000"/>
          <w:sz w:val="28"/>
        </w:rPr>
        <w:t>
      мынадай мазмұндағы 12) тармақшамен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 және (немесе) біліктілік талаптарға сәйкестігіне тексеруді жүзеге асыру кезінде тәуекелдерді басқару мақсаттары үшін бақылау субъектілерін (объектілерін) біліктілік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7"/>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біліктілік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біліктілік талаптарға сәйкестігіне тексеру,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 (объектілері)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 w:id="8"/>
    <w:p>
      <w:pPr>
        <w:spacing w:after="0"/>
        <w:ind w:left="0"/>
        <w:jc w:val="both"/>
      </w:pPr>
      <w:r>
        <w:rPr>
          <w:rFonts w:ascii="Times New Roman"/>
          <w:b w:val="false"/>
          <w:i w:val="false"/>
          <w:color w:val="000000"/>
          <w:sz w:val="28"/>
        </w:rPr>
        <w:t>
      "3 тарау. Субъективті өлшемшарттар бойынша тәуекел дәрежесін есептеу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ойын бизнесі туралы заңнамасын бұзатын бақылау субъектілерін (объектілерін) анықтау үшін қажет.</w:t>
      </w:r>
    </w:p>
    <w:bookmarkEnd w:id="9"/>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Бару арқылы профилактикалық бақылау жүргізу кезінде кәсіпкерлік сібъектілерді іріктеу үшін ақпарат көздері мыналар болып табылады:</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Біліктілік талаптарға сәйкестігіне тексеру жүргізу кезінде кәсіпкерлік субъектілеріді іріктеу үшін ақпарат көздері мыналар болып табылады:</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біліктілік талаптарына сәйкестігін алдыңғы тексерулердің нәтижелері.";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23" w:id="10"/>
    <w:p>
      <w:pPr>
        <w:spacing w:after="0"/>
        <w:ind w:left="0"/>
        <w:jc w:val="both"/>
      </w:pPr>
      <w:r>
        <w:rPr>
          <w:rFonts w:ascii="Times New Roman"/>
          <w:b w:val="false"/>
          <w:i w:val="false"/>
          <w:color w:val="000000"/>
          <w:sz w:val="28"/>
        </w:rPr>
        <w:t>
      мынадай мазмұндағы 17-тармақпен толықтырылсын:</w:t>
      </w:r>
    </w:p>
    <w:bookmarkEnd w:id="10"/>
    <w:bookmarkStart w:name="z24" w:id="11"/>
    <w:p>
      <w:pPr>
        <w:spacing w:after="0"/>
        <w:ind w:left="0"/>
        <w:jc w:val="both"/>
      </w:pPr>
      <w:r>
        <w:rPr>
          <w:rFonts w:ascii="Times New Roman"/>
          <w:b w:val="false"/>
          <w:i w:val="false"/>
          <w:color w:val="000000"/>
          <w:sz w:val="28"/>
        </w:rPr>
        <w:t>
      "17.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11"/>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25" w:id="12"/>
    <w:p>
      <w:pPr>
        <w:spacing w:after="0"/>
        <w:ind w:left="0"/>
        <w:jc w:val="both"/>
      </w:pPr>
      <w:r>
        <w:rPr>
          <w:rFonts w:ascii="Times New Roman"/>
          <w:b w:val="false"/>
          <w:i w:val="false"/>
          <w:color w:val="000000"/>
          <w:sz w:val="28"/>
        </w:rPr>
        <w:t>
      мынадай мазмұндағы 18-тармақпен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27" w:id="13"/>
    <w:p>
      <w:pPr>
        <w:spacing w:after="0"/>
        <w:ind w:left="0"/>
        <w:jc w:val="both"/>
      </w:pPr>
      <w:r>
        <w:rPr>
          <w:rFonts w:ascii="Times New Roman"/>
          <w:b w:val="false"/>
          <w:i w:val="false"/>
          <w:color w:val="000000"/>
          <w:sz w:val="28"/>
        </w:rPr>
        <w:t>
      мынадай мазмұндағы 19-тармақпен толықтырылсын:</w:t>
      </w:r>
    </w:p>
    <w:bookmarkEnd w:id="13"/>
    <w:bookmarkStart w:name="z28" w:id="14"/>
    <w:p>
      <w:pPr>
        <w:spacing w:after="0"/>
        <w:ind w:left="0"/>
        <w:jc w:val="both"/>
      </w:pPr>
      <w:r>
        <w:rPr>
          <w:rFonts w:ascii="Times New Roman"/>
          <w:b w:val="false"/>
          <w:i w:val="false"/>
          <w:color w:val="000000"/>
          <w:sz w:val="28"/>
        </w:rPr>
        <w:t>
      "19.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6-қосымшамен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2-қосымшаға сәйкес Казино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Start w:name="z36" w:id="15"/>
    <w:p>
      <w:pPr>
        <w:spacing w:after="0"/>
        <w:ind w:left="0"/>
        <w:jc w:val="both"/>
      </w:pPr>
      <w:r>
        <w:rPr>
          <w:rFonts w:ascii="Times New Roman"/>
          <w:b w:val="false"/>
          <w:i w:val="false"/>
          <w:color w:val="000000"/>
          <w:sz w:val="28"/>
        </w:rPr>
        <w:t>
      бірінші абзац мынадай редакцияда жазылсын:</w:t>
      </w:r>
    </w:p>
    <w:bookmarkEnd w:id="15"/>
    <w:bookmarkStart w:name="z37" w:id="16"/>
    <w:p>
      <w:pPr>
        <w:spacing w:after="0"/>
        <w:ind w:left="0"/>
        <w:jc w:val="both"/>
      </w:pPr>
      <w:r>
        <w:rPr>
          <w:rFonts w:ascii="Times New Roman"/>
          <w:b w:val="false"/>
          <w:i w:val="false"/>
          <w:color w:val="000000"/>
          <w:sz w:val="28"/>
        </w:rPr>
        <w:t xml:space="preserve">
      "Бақылау субъектісіне (объектісіне) бара отырып, тексеруді / </w:t>
      </w:r>
    </w:p>
    <w:bookmarkEnd w:id="16"/>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3-қосымшаға сәйкес Ойын автоматтары залдарының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Start w:name="z70" w:id="17"/>
    <w:p>
      <w:pPr>
        <w:spacing w:after="0"/>
        <w:ind w:left="0"/>
        <w:jc w:val="both"/>
      </w:pPr>
      <w:r>
        <w:rPr>
          <w:rFonts w:ascii="Times New Roman"/>
          <w:b w:val="false"/>
          <w:i w:val="false"/>
          <w:color w:val="000000"/>
          <w:sz w:val="28"/>
        </w:rPr>
        <w:t>
      бірінші абзац мынадай редакцияда жазылсын:</w:t>
      </w:r>
    </w:p>
    <w:bookmarkEnd w:id="17"/>
    <w:bookmarkStart w:name="z39" w:id="18"/>
    <w:p>
      <w:pPr>
        <w:spacing w:after="0"/>
        <w:ind w:left="0"/>
        <w:jc w:val="both"/>
      </w:pPr>
      <w:r>
        <w:rPr>
          <w:rFonts w:ascii="Times New Roman"/>
          <w:b w:val="false"/>
          <w:i w:val="false"/>
          <w:color w:val="000000"/>
          <w:sz w:val="28"/>
        </w:rPr>
        <w:t xml:space="preserve">
      "Бақылау субъектісіне (объектісіне) бара отырып, тексеруді / </w:t>
      </w:r>
    </w:p>
    <w:bookmarkEnd w:id="18"/>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4-қосымшаға сәйкес букмекерлік кеңселердің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Start w:name="z41" w:id="19"/>
    <w:p>
      <w:pPr>
        <w:spacing w:after="0"/>
        <w:ind w:left="0"/>
        <w:jc w:val="both"/>
      </w:pPr>
      <w:r>
        <w:rPr>
          <w:rFonts w:ascii="Times New Roman"/>
          <w:b w:val="false"/>
          <w:i w:val="false"/>
          <w:color w:val="000000"/>
          <w:sz w:val="28"/>
        </w:rPr>
        <w:t>
      бірінші абзац мынадай редакцияда жазылсын:</w:t>
      </w:r>
    </w:p>
    <w:bookmarkEnd w:id="19"/>
    <w:bookmarkStart w:name="z42" w:id="20"/>
    <w:p>
      <w:pPr>
        <w:spacing w:after="0"/>
        <w:ind w:left="0"/>
        <w:jc w:val="both"/>
      </w:pPr>
      <w:r>
        <w:rPr>
          <w:rFonts w:ascii="Times New Roman"/>
          <w:b w:val="false"/>
          <w:i w:val="false"/>
          <w:color w:val="000000"/>
          <w:sz w:val="28"/>
        </w:rPr>
        <w:t xml:space="preserve">
      "Бақылау субъектісіне (объектісіне) бара отырып, тексеруді / </w:t>
      </w:r>
    </w:p>
    <w:bookmarkEnd w:id="20"/>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5-қосымшаға сәйкес тотализаторлардың қызметін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Start w:name="z44"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45" w:id="22"/>
    <w:p>
      <w:pPr>
        <w:spacing w:after="0"/>
        <w:ind w:left="0"/>
        <w:jc w:val="both"/>
      </w:pPr>
      <w:r>
        <w:rPr>
          <w:rFonts w:ascii="Times New Roman"/>
          <w:b w:val="false"/>
          <w:i w:val="false"/>
          <w:color w:val="000000"/>
          <w:sz w:val="28"/>
        </w:rPr>
        <w:t xml:space="preserve">
      "Бақылау субъектісіне (объектісіне) бара отырып, тексеруді / </w:t>
      </w:r>
    </w:p>
    <w:bookmarkEnd w:id="22"/>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_______________ </w:t>
      </w:r>
    </w:p>
    <w:p>
      <w:pPr>
        <w:spacing w:after="0"/>
        <w:ind w:left="0"/>
        <w:jc w:val="both"/>
      </w:pPr>
      <w:r>
        <w:rPr>
          <w:rFonts w:ascii="Times New Roman"/>
          <w:b w:val="false"/>
          <w:i w:val="false"/>
          <w:color w:val="000000"/>
          <w:sz w:val="28"/>
        </w:rPr>
        <w:t>
      _________________________________________________________________".</w:t>
      </w:r>
    </w:p>
    <w:bookmarkStart w:name="z46" w:id="23"/>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 мыналарды қамтамасыз етсін:</w:t>
      </w:r>
    </w:p>
    <w:bookmarkEnd w:id="23"/>
    <w:bookmarkStart w:name="z47" w:id="2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w:t>
      </w:r>
    </w:p>
    <w:bookmarkEnd w:id="24"/>
    <w:bookmarkStart w:name="z48" w:id="25"/>
    <w:p>
      <w:pPr>
        <w:spacing w:after="0"/>
        <w:ind w:left="0"/>
        <w:jc w:val="both"/>
      </w:pPr>
      <w:r>
        <w:rPr>
          <w:rFonts w:ascii="Times New Roman"/>
          <w:b w:val="false"/>
          <w:i w:val="false"/>
          <w:color w:val="000000"/>
          <w:sz w:val="28"/>
        </w:rPr>
        <w:t>
      2) осы бірлескен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25"/>
    <w:bookmarkStart w:name="z49" w:id="2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26"/>
    <w:bookmarkStart w:name="z50" w:id="2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27"/>
    <w:bookmarkStart w:name="z51" w:id="2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11 мамырдағы</w:t>
            </w:r>
            <w:r>
              <w:br/>
            </w:r>
            <w:r>
              <w:rPr>
                <w:rFonts w:ascii="Times New Roman"/>
                <w:b w:val="false"/>
                <w:i w:val="false"/>
                <w:color w:val="000000"/>
                <w:sz w:val="20"/>
              </w:rPr>
              <w:t>№ 124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54" w:id="29"/>
    <w:p>
      <w:pPr>
        <w:spacing w:after="0"/>
        <w:ind w:left="0"/>
        <w:jc w:val="left"/>
      </w:pPr>
      <w:r>
        <w:rPr>
          <w:rFonts w:ascii="Times New Roman"/>
          <w:b/>
          <w:i w:val="false"/>
          <w:color w:val="000000"/>
        </w:rPr>
        <w:t xml:space="preserve"> Бару арқылы профилактикалық бақылау жүргізу үшін казино мен ойын автоматтары залдарының қызметін жүзеге асыратын ойын бизнесі саласындағы бақылау субъектілеріне (объектілеріне) қойылатын талаптардың бұзылу дәрежесі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(ойын мекемелерінің кассалары мен ойын орындары жазылған ақпараттың кемінде жеті тәулік сақталуын қамтамасыз ететін және құмар ойынға қатысушылардың барлығының әрекетін тіркейтін бейнежазба жүйелерімен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ойын жабдықтарының,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мәліметтер;</w:t>
            </w:r>
          </w:p>
          <w:p>
            <w:pPr>
              <w:spacing w:after="20"/>
              <w:ind w:left="20"/>
              <w:jc w:val="both"/>
            </w:pPr>
            <w:r>
              <w:rPr>
                <w:rFonts w:ascii="Times New Roman"/>
                <w:b w:val="false"/>
                <w:i w:val="false"/>
                <w:color w:val="000000"/>
                <w:sz w:val="20"/>
              </w:rPr>
              <w:t>
4) ойын үстелдерінің санының өзгеруі, лицензия алған кезде көрсетілген жабдықты ауыстыру туралы мәліметтер;</w:t>
            </w:r>
          </w:p>
          <w:p>
            <w:pPr>
              <w:spacing w:after="20"/>
              <w:ind w:left="20"/>
              <w:jc w:val="both"/>
            </w:pPr>
            <w:r>
              <w:rPr>
                <w:rFonts w:ascii="Times New Roman"/>
                <w:b w:val="false"/>
                <w:i w:val="false"/>
                <w:color w:val="000000"/>
                <w:sz w:val="20"/>
              </w:rPr>
              <w:t>
5) кассалар тізімі және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немесе олардың бөліктерін казинодағы қабырғаларға, терезе және есік ойықтарына орнатуға тыйым салу туралы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автоматына технологиялық салынған ұтыстың белгіленген пайызына қатысты талаптарды сақтамау тоқсан бес пайыздан төмен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мекемелерінің кассалары мен ойын орындарын жазылған ақпаратты кемінде жеті тәулік сақтауды қамтамасыз ететін және құмар ойынға қатысушылардың барлығының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ойын жабдықтарының,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мәліметтер;</w:t>
            </w:r>
          </w:p>
          <w:p>
            <w:pPr>
              <w:spacing w:after="20"/>
              <w:ind w:left="20"/>
              <w:jc w:val="both"/>
            </w:pPr>
            <w:r>
              <w:rPr>
                <w:rFonts w:ascii="Times New Roman"/>
                <w:b w:val="false"/>
                <w:i w:val="false"/>
                <w:color w:val="000000"/>
                <w:sz w:val="20"/>
              </w:rPr>
              <w:t>
4) ойын үстелдерінің санының өзгеруі, лицензия алған кезде көрсетілген жабдықты ауыстыру туралы мәліметтер;</w:t>
            </w:r>
          </w:p>
          <w:p>
            <w:pPr>
              <w:spacing w:after="20"/>
              <w:ind w:left="20"/>
              <w:jc w:val="both"/>
            </w:pPr>
            <w:r>
              <w:rPr>
                <w:rFonts w:ascii="Times New Roman"/>
                <w:b w:val="false"/>
                <w:i w:val="false"/>
                <w:color w:val="000000"/>
                <w:sz w:val="20"/>
              </w:rPr>
              <w:t>
5) кассалар тізімі және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залда кемінде алпыс ойын автоматын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немесе олардың бөліктерін Ойын автоматтары залдарындағы қабырғаларға, терезе және есік ойықтарына орнатуға тыйым салу туралы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автоматына технологиялық тұрғыда тоқсан бес пайыздан төмен емес орналастырылған ұтыс пайызына қатысты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мекемелерінің кассалары мен ойын орындарын жазылған ақпаратты кемінде жеті тәулік сақтауды қамтамасыз ететін және құмар ойынға қатысушылардың барлығының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11 мамырдағы</w:t>
            </w:r>
            <w:r>
              <w:br/>
            </w:r>
            <w:r>
              <w:rPr>
                <w:rFonts w:ascii="Times New Roman"/>
                <w:b w:val="false"/>
                <w:i w:val="false"/>
                <w:color w:val="000000"/>
                <w:sz w:val="20"/>
              </w:rPr>
              <w:t>№ 124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57" w:id="30"/>
    <w:p>
      <w:pPr>
        <w:spacing w:after="0"/>
        <w:ind w:left="0"/>
        <w:jc w:val="left"/>
      </w:pPr>
      <w:r>
        <w:rPr>
          <w:rFonts w:ascii="Times New Roman"/>
          <w:b/>
          <w:i w:val="false"/>
          <w:color w:val="000000"/>
        </w:rPr>
        <w:t xml:space="preserve"> Біліктілік талаптарына сәйкестігіне тексеру жүргізу үшін казино мен ойын автоматтары залдарының қызметін жүзеге асыратын ойын бизнесі саласындағы бақылау субъектілеріне (объектілеріне) қойылатын талаптардың бұзылу дәрежесі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автоматына технологиялық салынған ұтыстың белгіленген пайызы туралы мәліметтердің болмауы (ойын автоматына технологиялық салынған ұтыстың пайызы тоқсан бес пайыздан төмен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(бір казинода кемінде отыз ойын үстелі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(ойын автоматтарының бір залында кемінде алпыс ойын автоматы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казино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60000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Ойын автоматтары залдарының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60000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уәкілетті органға банктік салым шартын жасасу кезінде ашылған банктік шоттар бойынша ақшаның болуы және қозғалысы туралы анықтаманы кемінде үш айда бір рет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үш жұлдыздан төмен емес санаттағы қонақ үй кешенінде меншік құқығында немесе өзге де заңды негізде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меншік құқығында ойын жабдығының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заңдастыру белгілерінің үлгілері мен номинацияларының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казино қызметін жүзеге асыру үшін 60 000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ставкаларды қабылдаудың және қазақ және орыс тілдерінде өткізілетін құмар ойындардың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құмар ойындарға шамадан тыс құмарлықтың зияны туралы ескерту;</w:t>
            </w:r>
          </w:p>
          <w:p>
            <w:pPr>
              <w:spacing w:after="20"/>
              <w:ind w:left="20"/>
              <w:jc w:val="both"/>
            </w:pPr>
            <w:r>
              <w:rPr>
                <w:rFonts w:ascii="Times New Roman"/>
                <w:b w:val="false"/>
                <w:i w:val="false"/>
                <w:color w:val="000000"/>
                <w:sz w:val="20"/>
              </w:rPr>
              <w:t>
5) құмар ойындарға қатысуды дербес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телефондарының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ойындарда тікелей қолданылатын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ұйымдастырушының және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қатысу шарттары;</w:t>
            </w:r>
          </w:p>
          <w:p>
            <w:pPr>
              <w:spacing w:after="20"/>
              <w:ind w:left="20"/>
              <w:jc w:val="both"/>
            </w:pPr>
            <w:r>
              <w:rPr>
                <w:rFonts w:ascii="Times New Roman"/>
                <w:b w:val="false"/>
                <w:i w:val="false"/>
                <w:color w:val="000000"/>
                <w:sz w:val="20"/>
              </w:rPr>
              <w:t>
12) құмар ойынды, сондай-ақ ойын сессиясын өткізу тәртібі;</w:t>
            </w:r>
          </w:p>
          <w:p>
            <w:pPr>
              <w:spacing w:after="20"/>
              <w:ind w:left="20"/>
              <w:jc w:val="both"/>
            </w:pPr>
            <w:r>
              <w:rPr>
                <w:rFonts w:ascii="Times New Roman"/>
                <w:b w:val="false"/>
                <w:i w:val="false"/>
                <w:color w:val="000000"/>
                <w:sz w:val="20"/>
              </w:rPr>
              <w:t>
13) құмар ойындарда ставкаларды қабылдау шарттары;</w:t>
            </w:r>
          </w:p>
          <w:p>
            <w:pPr>
              <w:spacing w:after="20"/>
              <w:ind w:left="20"/>
              <w:jc w:val="both"/>
            </w:pPr>
            <w:r>
              <w:rPr>
                <w:rFonts w:ascii="Times New Roman"/>
                <w:b w:val="false"/>
                <w:i w:val="false"/>
                <w:color w:val="000000"/>
                <w:sz w:val="20"/>
              </w:rPr>
              <w:t>
14) құмар ойынға қатысушыға ұтыс төленуге жататын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немесе өзге де заңды негізде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ойын жабдығының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 қолданылатын заңдастыру белгілерінің үлгілері мен номинацияларының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Ойын автоматтары залының қызметін жүзеге асыру үшін 60000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ставкаларды қабылдаудың және қазақ және орыс тілдерінде өткізілетін құмар ойындардың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құмар ойындарға шамадан тыс құмарлықтың зияны туралы ескерту;</w:t>
            </w:r>
          </w:p>
          <w:p>
            <w:pPr>
              <w:spacing w:after="20"/>
              <w:ind w:left="20"/>
              <w:jc w:val="both"/>
            </w:pPr>
            <w:r>
              <w:rPr>
                <w:rFonts w:ascii="Times New Roman"/>
                <w:b w:val="false"/>
                <w:i w:val="false"/>
                <w:color w:val="000000"/>
                <w:sz w:val="20"/>
              </w:rPr>
              <w:t>
5) құмар ойындарға қатысуды дербес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телефондарының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ойындарда тікелей қолданылатын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ұйымдастырушының және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қатысу шарттары;</w:t>
            </w:r>
          </w:p>
          <w:p>
            <w:pPr>
              <w:spacing w:after="20"/>
              <w:ind w:left="20"/>
              <w:jc w:val="both"/>
            </w:pPr>
            <w:r>
              <w:rPr>
                <w:rFonts w:ascii="Times New Roman"/>
                <w:b w:val="false"/>
                <w:i w:val="false"/>
                <w:color w:val="000000"/>
                <w:sz w:val="20"/>
              </w:rPr>
              <w:t>
12) құмар ойынды, сондай-ақ ойын сессиясын өткізу тәртібі;</w:t>
            </w:r>
          </w:p>
          <w:p>
            <w:pPr>
              <w:spacing w:after="20"/>
              <w:ind w:left="20"/>
              <w:jc w:val="both"/>
            </w:pPr>
            <w:r>
              <w:rPr>
                <w:rFonts w:ascii="Times New Roman"/>
                <w:b w:val="false"/>
                <w:i w:val="false"/>
                <w:color w:val="000000"/>
                <w:sz w:val="20"/>
              </w:rPr>
              <w:t>
13) құмар ойындарда ставкаларды қабылдау шарттары;</w:t>
            </w:r>
          </w:p>
          <w:p>
            <w:pPr>
              <w:spacing w:after="20"/>
              <w:ind w:left="20"/>
              <w:jc w:val="both"/>
            </w:pPr>
            <w:r>
              <w:rPr>
                <w:rFonts w:ascii="Times New Roman"/>
                <w:b w:val="false"/>
                <w:i w:val="false"/>
                <w:color w:val="000000"/>
                <w:sz w:val="20"/>
              </w:rPr>
              <w:t>
14) құмар ойынға қатысушыға ұтыс төленуге жататын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11 мамырдағы</w:t>
            </w:r>
            <w:r>
              <w:br/>
            </w:r>
            <w:r>
              <w:rPr>
                <w:rFonts w:ascii="Times New Roman"/>
                <w:b w:val="false"/>
                <w:i w:val="false"/>
                <w:color w:val="000000"/>
                <w:sz w:val="20"/>
              </w:rPr>
              <w:t>№ 124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60" w:id="31"/>
    <w:p>
      <w:pPr>
        <w:spacing w:after="0"/>
        <w:ind w:left="0"/>
        <w:jc w:val="left"/>
      </w:pPr>
      <w:r>
        <w:rPr>
          <w:rFonts w:ascii="Times New Roman"/>
          <w:b/>
          <w:i w:val="false"/>
          <w:color w:val="000000"/>
        </w:rPr>
        <w:t xml:space="preserve"> Бару арқылы профилактикалық бақылау жүргізу үшін букмекерлік кеңселер мен тотализаторлардың қызметін жүзеге асыратын ойын бизнесі саласындағы бақылау субъектілеріне (объектілеріне) қойылатын талаптардың бұзылу дәрежесі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(букмекерлік кеңселер мен тотализаторлардың кассалары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букмекерлік кеңселер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букмекерлік кеңсенің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букмекерлік кеңселердің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кассаларын жазылған ақпараттың кемінде жеті тәулік сақталуын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немесе аумақтық ішкі істер органының кезекші бөлігінің орталықтандырылған пультіне қосылған букмекерлік кеңселердің кассаларын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 есептеген коэффициенттер негізінде және аккредиттелген спорт федерациялары немесе халықаралық спорт ұйымдарының, федерациялардың, комитеттердің қамқорлығымен өткізілетін спорттық жарыстар шеңберінде болатын алдағы нақты оқиғаларға ғана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букмекерлік кеңселер кассаларымен өзара іс-қимылын қамтамасыз ету жөніндегі букмекерлік кеңсенің қызметін жүзеге асыратын ойын бизнесін ұйымдастырушылардың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тотализатор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тотализатордың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тотализаторлардың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жеке күзет ұйымының немесе аумақтық ішкі істер органының кезекші бөлігінің орталықтандырылған пультіне қосылған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отализатор қызметін жүзеге асыратын ойын бизнесін ұйымдастырушының ат спорты жарыстары (ат жарысы, жүгіру) және (немесе) Ит жарысы шеңберінде болатын алдағы нақты оқиғаларға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тотализаторлар кассаларымен өзара іс-қимылын қамтамасыз ету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тотализатордың қызметін жүзеге асыратын ойын бизнесін ұйымдастырушылардың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11 мамырдағы</w:t>
            </w:r>
            <w:r>
              <w:br/>
            </w:r>
            <w:r>
              <w:rPr>
                <w:rFonts w:ascii="Times New Roman"/>
                <w:b w:val="false"/>
                <w:i w:val="false"/>
                <w:color w:val="000000"/>
                <w:sz w:val="20"/>
              </w:rPr>
              <w:t>№ 124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63" w:id="32"/>
    <w:p>
      <w:pPr>
        <w:spacing w:after="0"/>
        <w:ind w:left="0"/>
        <w:jc w:val="left"/>
      </w:pPr>
      <w:r>
        <w:rPr>
          <w:rFonts w:ascii="Times New Roman"/>
          <w:b/>
          <w:i w:val="false"/>
          <w:color w:val="000000"/>
        </w:rPr>
        <w:t xml:space="preserve"> Біліктілік талаптарына сәйкестігіне тексеру жүргізу үшін букмекерлік кеңселер мен тотализаторлардың қызметін жүзеге асыратын ойын бизнесі саласындағы бақылау субъектілеріне (объектілеріне) қойылатын талаптардың бұзылу дәрежесі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букмекерлік кеңселердің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40000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тотализаторлардың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10000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букмекерлік кеңселердің қызметін жүзеге асыру үшін банктік салым шартын жасасу кезінде ашылған банктік шоттар бойынша ақша қозғалысы туралы мәліметтердің болмауы (міндетті резервтің мөлшері 40000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тотализатордың қызметін жүзеге асыру үшін банктік салым шартын жасасу кезінде ашылған банктік шоттар бойынша ақша қозғалысы туралы мәліметтердің болмауы (міндетті резервтің мөлшері 10000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уәкілетті органға банктік салым шартын жасасу кезінде ашылған банктік шоттар бойынша ақшаның болуы және қозғалысы туралы анықтаманы кемінде үш айда бір рет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асыру үшін меншік құқығында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меншік құқығында бәс тігуді ұйымдастыру және өткізу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букмекерлік кеңселердің қызметін жүзеге асыру үшін 40000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кассасында, сондай-ақ ойын бизнесін ұйымдастырушының интернет-ресурсында (бар болса) көрнекті жерде орналастырылған букмекерлік кеңсенің жұмысының, ставкаларды қабылдаудың және қазақ және орыс тілдерінде бәс тігудің әзірленген қағидаларының болмауы, олар мынадай мәліметтерді қамтуға тиіс:</w:t>
            </w:r>
          </w:p>
          <w:p>
            <w:pPr>
              <w:spacing w:after="20"/>
              <w:ind w:left="20"/>
              <w:jc w:val="both"/>
            </w:pPr>
            <w:r>
              <w:rPr>
                <w:rFonts w:ascii="Times New Roman"/>
                <w:b w:val="false"/>
                <w:i w:val="false"/>
                <w:color w:val="000000"/>
                <w:sz w:val="20"/>
              </w:rPr>
              <w:t>
1) букмекерлік кеңсенің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бәс тігудің шамадан тыс құмарлығының зияны туралы ескерту;</w:t>
            </w:r>
          </w:p>
          <w:p>
            <w:pPr>
              <w:spacing w:after="20"/>
              <w:ind w:left="20"/>
              <w:jc w:val="both"/>
            </w:pPr>
            <w:r>
              <w:rPr>
                <w:rFonts w:ascii="Times New Roman"/>
                <w:b w:val="false"/>
                <w:i w:val="false"/>
                <w:color w:val="000000"/>
                <w:sz w:val="20"/>
              </w:rPr>
              <w:t>
5) бәс тігуге қатысуды дербес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және байланыс телефондарының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түрлері;</w:t>
            </w:r>
          </w:p>
          <w:p>
            <w:pPr>
              <w:spacing w:after="20"/>
              <w:ind w:left="20"/>
              <w:jc w:val="both"/>
            </w:pPr>
            <w:r>
              <w:rPr>
                <w:rFonts w:ascii="Times New Roman"/>
                <w:b w:val="false"/>
                <w:i w:val="false"/>
                <w:color w:val="000000"/>
                <w:sz w:val="20"/>
              </w:rPr>
              <w:t>
9) бәс тігуге қатысушылар бәс тігетін оқиғаның нәтижесін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қолданылатын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ұйымдастырушының және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 сондай-ақ ойын сессиясын өткізу тәртібі;</w:t>
            </w:r>
          </w:p>
          <w:p>
            <w:pPr>
              <w:spacing w:after="20"/>
              <w:ind w:left="20"/>
              <w:jc w:val="both"/>
            </w:pPr>
            <w:r>
              <w:rPr>
                <w:rFonts w:ascii="Times New Roman"/>
                <w:b w:val="false"/>
                <w:i w:val="false"/>
                <w:color w:val="000000"/>
                <w:sz w:val="20"/>
              </w:rPr>
              <w:t>
14) ставкаларды бәс тігуге қабылдау шарттары;</w:t>
            </w:r>
          </w:p>
          <w:p>
            <w:pPr>
              <w:spacing w:after="20"/>
              <w:ind w:left="20"/>
              <w:jc w:val="both"/>
            </w:pPr>
            <w:r>
              <w:rPr>
                <w:rFonts w:ascii="Times New Roman"/>
                <w:b w:val="false"/>
                <w:i w:val="false"/>
                <w:color w:val="000000"/>
                <w:sz w:val="20"/>
              </w:rPr>
              <w:t>
15) бәс тігуге қатысушыға ұтыс төленуге жататын нәтиже;</w:t>
            </w:r>
          </w:p>
          <w:p>
            <w:pPr>
              <w:spacing w:after="20"/>
              <w:ind w:left="20"/>
              <w:jc w:val="both"/>
            </w:pPr>
            <w:r>
              <w:rPr>
                <w:rFonts w:ascii="Times New Roman"/>
                <w:b w:val="false"/>
                <w:i w:val="false"/>
                <w:color w:val="000000"/>
                <w:sz w:val="20"/>
              </w:rPr>
              <w:t>
16) дауларды қарау тәртібі;</w:t>
            </w:r>
          </w:p>
          <w:p>
            <w:pPr>
              <w:spacing w:after="20"/>
              <w:ind w:left="20"/>
              <w:jc w:val="both"/>
            </w:pPr>
            <w:r>
              <w:rPr>
                <w:rFonts w:ascii="Times New Roman"/>
                <w:b w:val="false"/>
                <w:i w:val="false"/>
                <w:color w:val="000000"/>
                <w:sz w:val="20"/>
              </w:rPr>
              <w:t>
17)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қызметін жүзеге асыру үшін меншік құқығында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қызметін жүзеге асыру үшін меншік құқығында бәс тігуді ұйымдастыру және өткізу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10000 айлық есептік көрсеткіш мөлшерінде тотализаторлардың қызметін жүзеге асыру үшін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кассасында, сондай-ақ ойын бизнесін ұйымдастырушының интернет-ресурсында (бар болса) көрнекті жерде орналастырылған, қазақ және орыс тілдерінде тотализатор жұмысының, ставкаларды қабылдаудың және бәс тігудің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тотализатордың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бәс тігудің шамадан тыс құмарлығының зияны туралы ескерту;</w:t>
            </w:r>
          </w:p>
          <w:p>
            <w:pPr>
              <w:spacing w:after="20"/>
              <w:ind w:left="20"/>
              <w:jc w:val="both"/>
            </w:pPr>
            <w:r>
              <w:rPr>
                <w:rFonts w:ascii="Times New Roman"/>
                <w:b w:val="false"/>
                <w:i w:val="false"/>
                <w:color w:val="000000"/>
                <w:sz w:val="20"/>
              </w:rPr>
              <w:t>
5) бәс тігуге қатысуды дербес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және байланыс телефондарының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түрлері;</w:t>
            </w:r>
          </w:p>
          <w:p>
            <w:pPr>
              <w:spacing w:after="20"/>
              <w:ind w:left="20"/>
              <w:jc w:val="both"/>
            </w:pPr>
            <w:r>
              <w:rPr>
                <w:rFonts w:ascii="Times New Roman"/>
                <w:b w:val="false"/>
                <w:i w:val="false"/>
                <w:color w:val="000000"/>
                <w:sz w:val="20"/>
              </w:rPr>
              <w:t>
9) бәс тігуге қатысушылар бәс тігетін оқиғаның нәтижесін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қолданылатын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ұйымдастырушының және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 сондай-ақ ойын сессиясын өткізу тәртібі;</w:t>
            </w:r>
          </w:p>
          <w:p>
            <w:pPr>
              <w:spacing w:after="20"/>
              <w:ind w:left="20"/>
              <w:jc w:val="both"/>
            </w:pPr>
            <w:r>
              <w:rPr>
                <w:rFonts w:ascii="Times New Roman"/>
                <w:b w:val="false"/>
                <w:i w:val="false"/>
                <w:color w:val="000000"/>
                <w:sz w:val="20"/>
              </w:rPr>
              <w:t>
14) ставкаларды бәс тігуге қабылдау шарттары;</w:t>
            </w:r>
          </w:p>
          <w:p>
            <w:pPr>
              <w:spacing w:after="20"/>
              <w:ind w:left="20"/>
              <w:jc w:val="both"/>
            </w:pPr>
            <w:r>
              <w:rPr>
                <w:rFonts w:ascii="Times New Roman"/>
                <w:b w:val="false"/>
                <w:i w:val="false"/>
                <w:color w:val="000000"/>
                <w:sz w:val="20"/>
              </w:rPr>
              <w:t>
15) бәс тігуді ұйымдастырудағы делдалдығы үшін тотализатордың қызметін жүзеге асыратын ойын бизнесін ұйымдастырушының сыйақысының (комиссиясының) мөлшері;</w:t>
            </w:r>
          </w:p>
          <w:p>
            <w:pPr>
              <w:spacing w:after="20"/>
              <w:ind w:left="20"/>
              <w:jc w:val="both"/>
            </w:pPr>
            <w:r>
              <w:rPr>
                <w:rFonts w:ascii="Times New Roman"/>
                <w:b w:val="false"/>
                <w:i w:val="false"/>
                <w:color w:val="000000"/>
                <w:sz w:val="20"/>
              </w:rPr>
              <w:t>
16) бәс тігуге қатысушыға ұтыс төленуге жататын нәтиже;</w:t>
            </w:r>
          </w:p>
          <w:p>
            <w:pPr>
              <w:spacing w:after="20"/>
              <w:ind w:left="20"/>
              <w:jc w:val="both"/>
            </w:pPr>
            <w:r>
              <w:rPr>
                <w:rFonts w:ascii="Times New Roman"/>
                <w:b w:val="false"/>
                <w:i w:val="false"/>
                <w:color w:val="000000"/>
                <w:sz w:val="20"/>
              </w:rPr>
              <w:t>
17) дауларды қарау тәртібі;</w:t>
            </w:r>
          </w:p>
          <w:p>
            <w:pPr>
              <w:spacing w:after="20"/>
              <w:ind w:left="20"/>
              <w:jc w:val="both"/>
            </w:pPr>
            <w:r>
              <w:rPr>
                <w:rFonts w:ascii="Times New Roman"/>
                <w:b w:val="false"/>
                <w:i w:val="false"/>
                <w:color w:val="000000"/>
                <w:sz w:val="20"/>
              </w:rPr>
              <w:t>
18)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11 мамырдағы</w:t>
            </w:r>
            <w:r>
              <w:br/>
            </w:r>
            <w:r>
              <w:rPr>
                <w:rFonts w:ascii="Times New Roman"/>
                <w:b w:val="false"/>
                <w:i w:val="false"/>
                <w:color w:val="000000"/>
                <w:sz w:val="20"/>
              </w:rPr>
              <w:t>№ 124 бірлескен бүйрыққа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66" w:id="33"/>
    <w:p>
      <w:pPr>
        <w:spacing w:after="0"/>
        <w:ind w:left="0"/>
        <w:jc w:val="left"/>
      </w:pPr>
      <w:r>
        <w:rPr>
          <w:rFonts w:ascii="Times New Roman"/>
          <w:b/>
          <w:i w:val="false"/>
          <w:color w:val="000000"/>
        </w:rPr>
        <w:t xml:space="preserve"> Казино мен ойын автоматтары залдарының қызметін жүзеге асыратын ойын бизнесін ұйымдастырушылар үшін Қазақстан Республикасының ойын бизнесі туралы заңнамасының сақталуына субъективті өлшемшарттар бойынша тәуекел дәрежесін айқындау үшін субъективті өлшемшарттар тізбесі</w:t>
      </w:r>
    </w:p>
    <w:bookmarkEnd w:id="3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(ойын мекемелерінің кассалары мен ойын орындары жазылған ақпараттың кемінде жеті тәулік сақталуын қамтамасыз ететін және құмар ойынға қатысушылардың барлығының әрекетін тіркейтін бейнежазба жүйелерімен жабдықталуы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рұқсат беру талаптарына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автоматына технологиялық салынған ұтыстың белгіленген пайызы туралы мәліметтердің болмауы (ойын автоматына технологиялық салынған ұтыстың пайызы тоқсан бес пайыздан төмен болмауы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(бір казинода кемінде отыз ойын үстелі орнатылуы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(ойын автоматтарының бір залында кемінде алпыс ойын автоматы орнатылуы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11 мамырдағы</w:t>
            </w:r>
            <w:r>
              <w:br/>
            </w:r>
            <w:r>
              <w:rPr>
                <w:rFonts w:ascii="Times New Roman"/>
                <w:b w:val="false"/>
                <w:i w:val="false"/>
                <w:color w:val="000000"/>
                <w:sz w:val="20"/>
              </w:rPr>
              <w:t>№ 124 бірлескен бүйрыққа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69" w:id="34"/>
    <w:p>
      <w:pPr>
        <w:spacing w:after="0"/>
        <w:ind w:left="0"/>
        <w:jc w:val="left"/>
      </w:pPr>
      <w:r>
        <w:rPr>
          <w:rFonts w:ascii="Times New Roman"/>
          <w:b/>
          <w:i w:val="false"/>
          <w:color w:val="000000"/>
        </w:rPr>
        <w:t xml:space="preserve"> Букмекерлік кеңселер мен тотализаторлардың қызметін жүзеге асыратын ойын бизнесін ұйымдастырушылар үшін Қазақстан Республикасының ойын бизнесі туралы заңнамасының сақталуына субъективті өлшемшарттар бойынша тәуекел дәрежесін айқындау үшін субъективті өлшемшарттар тізбесі</w:t>
      </w:r>
    </w:p>
    <w:bookmarkEnd w:id="34"/>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(букмекерлік кеңселер мен тотализаторлардың кассалары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жабдықталуы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рұқсат беру талаптарына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