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da31" w14:textId="343d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 жөніндегі қызметті жүзеге асыру үшін біліктілік талаптарын және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26 сәуірдегі № 165/НҚ бұйрығы. Қазақстан Республикасының Әділет министрлігінде 2023 жылғы 3 мамырда № 32416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Цифрлық майнинг жөніндегі қызметті жүзеге асыру үшін қоса беріліп отырған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біліктілік талаптары).</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Қазақстан Республикасының заңнамасында белгіленген тәртіппен келесі қамтамасыз етсін: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2024 жылғы 1 қаңтардан бастап қолданысқа енгізілетін біліктілік талаптарының 1-тармағының 5) тармақшасын қоспағанда,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инновациялар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аэроғарыш өнеркәсібі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165/НҚ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Цифрлық майнинг жөніндегі қызметті жүзеге асыру үшін біліктілік талаптары және оларға сәйкестікті растайтын құжаттар тізбесі</w:t>
      </w:r>
    </w:p>
    <w:bookmarkEnd w:id="8"/>
    <w:p>
      <w:pPr>
        <w:spacing w:after="0"/>
        <w:ind w:left="0"/>
        <w:jc w:val="both"/>
      </w:pPr>
      <w:r>
        <w:rPr>
          <w:rFonts w:ascii="Times New Roman"/>
          <w:b w:val="false"/>
          <w:i w:val="false"/>
          <w:color w:val="ff0000"/>
          <w:sz w:val="28"/>
        </w:rPr>
        <w:t xml:space="preserve">
      Ескерту. Тізбе жаңа редакцияда – ҚР Цифрлық даму, инновациялар және аэроғарыш өнеркәсібі министрінің 04.12.2023 </w:t>
      </w:r>
      <w:r>
        <w:rPr>
          <w:rFonts w:ascii="Times New Roman"/>
          <w:b w:val="false"/>
          <w:i w:val="false"/>
          <w:color w:val="ff0000"/>
          <w:sz w:val="28"/>
        </w:rPr>
        <w:t>№ 598/НҚ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басқа да заңды негіздерде цифрлық майнинг деректерін өңдеу орталығы бар цифрлық майнердің қызметіне – І кіші түрдің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аппараттық-бағдарламалық кешенді тізілімге енгізу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кешеннің тізілімінде қамтылған (меншік құқығында немесе басқа да заңды негіздерінде цифрлық майнингке арналған аппараттық-бағдарламалық кешеннің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басқа да заңды негізде цифрлық майнинг деректерді өңдеу орталығының болуы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орталығының орналасқан жерін көрсете отырып, меншік құқығында немесе басқа заңды негізде цифрлық майнинг деректерді өңдеу орталығының болуы туралы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деректер орталығының тұрғын үй аймағынан тыс орналасуы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деректерін өңдеу орталығының тұрғын үй аймағынан тыс орналасуы туралы растайтын құжаттар (еркін нысандағы кепілдендірілген хат)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цифрлық майнинг пулы арқылы жүзеге асыру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аккредиттелген майнингтік пулдар бар кезінде цифрлық майнингтік пул арқылы цифрлық майнинг қызметін жүзеге асыру туралы растайтын құжаттар (меншік құқығында немесе цифрлық майнингке арналған аппараттық-бағдарламалық кешеннің басқа да заңды негіздерінде болған кезде): анықтама, жазбаша жауап немесе цифрлық майнинг пулымен жасалған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жүзеге асыру барысында бір цифрлық майнингтік пулынан екіншісіне ауысқан жағдайда, цифрлық майнер 2 (екі) жұмыс күні ішінде бұл туралы уәкілетті органға ақпараттық жүйе арқылы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"Электр энергетикасы туралы" Заңының 9-4-бабының </w:t>
            </w:r>
            <w:r>
              <w:rPr>
                <w:rFonts w:ascii="Times New Roman"/>
                <w:b w:val="false"/>
                <w:i w:val="false"/>
                <w:color w:val="000000"/>
                <w:sz w:val="20"/>
              </w:rPr>
              <w:t>2-тармағына</w:t>
            </w:r>
            <w:r>
              <w:rPr>
                <w:rFonts w:ascii="Times New Roman"/>
                <w:b w:val="false"/>
                <w:i w:val="false"/>
                <w:color w:val="000000"/>
                <w:sz w:val="20"/>
              </w:rPr>
              <w:t xml:space="preserve"> (бұдан әрі – Заң) сәйкес цифрлық майнерде электр энергиясын коммерциялық есепке алудың автоматтандырылған жүйелерінің, жүктемені ажыратудың арнаулы автоматикасының, жүйелік операторда және энергия беруші ұйымда орнатылған жүйелермен өздерін біріздендіруді олардың желілеріне қосылған кезде қамтамасыз ететін телекоммуникация жүйелерінің болуы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9-4-бабының </w:t>
            </w:r>
            <w:r>
              <w:rPr>
                <w:rFonts w:ascii="Times New Roman"/>
                <w:b w:val="false"/>
                <w:i w:val="false"/>
                <w:color w:val="000000"/>
                <w:sz w:val="20"/>
              </w:rPr>
              <w:t>2-тармағына</w:t>
            </w:r>
            <w:r>
              <w:rPr>
                <w:rFonts w:ascii="Times New Roman"/>
                <w:b w:val="false"/>
                <w:i w:val="false"/>
                <w:color w:val="000000"/>
                <w:sz w:val="20"/>
              </w:rPr>
              <w:t xml:space="preserve"> сәйкес цифрлық майнерде электр энергиясын коммерциялық есепке алудың автоматтандырылған жүйелерінің, жүктемені ажыратудың арнаулы автоматикасының, жүйелік операторда және энергия беруші ұйымда орнатылған жүйелермен өздерін біріздендіруді олардың желілеріне қосылған кезде қамтамасыз ететін телекоммуникация жүйелерінің болуын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қосылуға техникалық шарттардың (бұдан әрі – ТШ) болуы туралы ақпарат*:</w:t>
            </w:r>
          </w:p>
          <w:p>
            <w:pPr>
              <w:spacing w:after="20"/>
              <w:ind w:left="20"/>
              <w:jc w:val="both"/>
            </w:pPr>
            <w:r>
              <w:rPr>
                <w:rFonts w:ascii="Times New Roman"/>
                <w:b w:val="false"/>
                <w:i w:val="false"/>
                <w:color w:val="000000"/>
                <w:sz w:val="20"/>
              </w:rPr>
              <w:t>
Қазақстан Республикасының электр энергетикасы туралы заңнамасына сәйкес рұқсат етілген қуаты кемінде бір мегаватт болатын кернеуі 35 киловольт және одан жоғары трансформаторлық қосалқы станциялардан ғана энергия беруші ұйымдардан ТШ алған цифрлық майнерлер үшін;</w:t>
            </w:r>
          </w:p>
          <w:p>
            <w:pPr>
              <w:spacing w:after="20"/>
              <w:ind w:left="20"/>
              <w:jc w:val="both"/>
            </w:pPr>
            <w:r>
              <w:rPr>
                <w:rFonts w:ascii="Times New Roman"/>
                <w:b w:val="false"/>
                <w:i w:val="false"/>
                <w:color w:val="000000"/>
                <w:sz w:val="20"/>
              </w:rPr>
              <w:t>
2023 жылғы 1 сәуірге дейін энергия беруші (энергия өндіруші) ұйымның электр желілеріне қосуды жүзеге асырған цифрлық майнерлер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рұқсат етілген қуаты кемінде бір мегаватт болатын кернеуі 35 киловольт және одан жоғары трансформаторлық қосалқы станциялардан энергия беруші ұйымдар берген цифрлық майнерлер үшін ТШ.</w:t>
            </w:r>
          </w:p>
          <w:p>
            <w:pPr>
              <w:spacing w:after="20"/>
              <w:ind w:left="20"/>
              <w:jc w:val="both"/>
            </w:pPr>
            <w:r>
              <w:rPr>
                <w:rFonts w:ascii="Times New Roman"/>
                <w:b w:val="false"/>
                <w:i w:val="false"/>
                <w:color w:val="000000"/>
                <w:sz w:val="20"/>
              </w:rPr>
              <w:t>
тиісті қызмет түрі (дата-орталықтар, өндірістік немесе өнеркәсіптік ғимараттар) бар энергия беруші (энергия өндіруші) ұйым берген ТШ.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басқа да заңды негіздерде цифрлық майнинг деректерін өңдеу орталығы жоқ және оған меншік құқығында тиесілі цифрлық майнингке арналған, цифрлық майнинг деректерін өңдеу орталығында орналасқан аппараттық-бағдарламалық кешенді пайдалана отырып, цифрлық майнингті жүзеге асыратын цифрлық майнердің қызметіне – ІІ кіші түрдің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үшін аппараттық-бағдарламалық кешеннің тізіліміне енгізу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тізілімге енгізу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оған тиесілі цифрлық майнинг үшін аппараттық-бағдарламалық кешеннің деректерді өңдеу орталығында орналастырылуы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кіші түрдегі лицензияланған майнерімен, оның атауын көрсете отырып, ынтымақтастық ниеті туралы еркін нысандағы кепілдендірілген хат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цифрлық майнинг пулы арқылы жүзеге асыру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аккредиттелген майнингтік пулдар бар кезінде цифрлық майнингтік пул арқылы цифрлық майнинг қызметін жүзеге асыру туралы растайтын құжаттар: анықтама, жазбаша жауап немесе цифрлық майнинг пулымен жасалған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жүзеге асыру барысында бір цифрлық майнингтік пулынан екіншісіне ауысқан жағдайда, цифрлық майнер 2 (екі) жұмыс күні ішінде бұл туралы уәкілетті органға ақпараттық жүйе арқылы хабарлайды.</w:t>
            </w:r>
          </w:p>
        </w:tc>
      </w:tr>
    </w:tbl>
    <w:p>
      <w:pPr>
        <w:spacing w:after="0"/>
        <w:ind w:left="0"/>
        <w:jc w:val="both"/>
      </w:pPr>
      <w:r>
        <w:rPr>
          <w:rFonts w:ascii="Times New Roman"/>
          <w:b w:val="false"/>
          <w:i w:val="false"/>
          <w:color w:val="000000"/>
          <w:sz w:val="28"/>
        </w:rPr>
        <w:t>
      Ескертпе: *Генерациялайтын қондырғылары Қазақстан Республикасының бірыңғай электр энергетикалық жүйесіне қосылмаған энергия өндіруші ұйымдардан электр энергиясын сатып алатын көрсетілетін қызметті алушыларға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