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18e9" w14:textId="5d51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14 сәуірдегі № 69 бұйрығы. Қазақстан Республикасының Әділет министрлігінде 2023 жылғы 17 сәуірде № 32328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 – 304/2020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клиникалық база туралы ереже және оған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клиникалық база туралы ереже және оған қойылатын талаптар (бұдан әрі – Ереже)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денсаулық сақтау саласындағы білім беру ұйымының клиникасы туралы ереже және оған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Денсаулық сақтау саласындағы білім беру ұйымының клиникасы туралы ереже және оған қойылатын талаптар (бұдан әрі – Ереже)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Start w:name="z11" w:id="1"/>
    <w:p>
      <w:pPr>
        <w:spacing w:after="0"/>
        <w:ind w:left="0"/>
        <w:jc w:val="both"/>
      </w:pPr>
      <w:r>
        <w:rPr>
          <w:rFonts w:ascii="Times New Roman"/>
          <w:b w:val="false"/>
          <w:i w:val="false"/>
          <w:color w:val="000000"/>
          <w:sz w:val="28"/>
        </w:rPr>
        <w:t>
      "2. Осы Ережеде мынадай терминдер мен анықтамалар пайдаланылады:</w:t>
      </w:r>
    </w:p>
    <w:bookmarkEnd w:id="1"/>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xml:space="preserve">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салауаттылығы,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 </w:t>
      </w:r>
    </w:p>
    <w:p>
      <w:pPr>
        <w:spacing w:after="0"/>
        <w:ind w:left="0"/>
        <w:jc w:val="both"/>
      </w:pPr>
      <w:r>
        <w:rPr>
          <w:rFonts w:ascii="Times New Roman"/>
          <w:b w:val="false"/>
          <w:i w:val="false"/>
          <w:color w:val="000000"/>
          <w:sz w:val="28"/>
        </w:rPr>
        <w:t>
      3)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p>
      <w:pPr>
        <w:spacing w:after="0"/>
        <w:ind w:left="0"/>
        <w:jc w:val="both"/>
      </w:pPr>
      <w:r>
        <w:rPr>
          <w:rFonts w:ascii="Times New Roman"/>
          <w:b w:val="false"/>
          <w:i w:val="false"/>
          <w:color w:val="000000"/>
          <w:sz w:val="28"/>
        </w:rPr>
        <w:t>
      4) денсаулық сақтау саласындағы білім беру ұйымының клиникасы (бұдан әрі – ДСБҰК) – білім беру ұйымының құрылымдық бөлімшесі немесе денсаулық сақтау ұйымы, оның базасында ғылым мен практиканың қазіргі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p>
      <w:pPr>
        <w:spacing w:after="0"/>
        <w:ind w:left="0"/>
        <w:jc w:val="both"/>
      </w:pPr>
      <w:r>
        <w:rPr>
          <w:rFonts w:ascii="Times New Roman"/>
          <w:b w:val="false"/>
          <w:i w:val="false"/>
          <w:color w:val="000000"/>
          <w:sz w:val="28"/>
        </w:rPr>
        <w:t>
      5)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pPr>
        <w:spacing w:after="0"/>
        <w:ind w:left="0"/>
        <w:jc w:val="both"/>
      </w:pPr>
      <w:r>
        <w:rPr>
          <w:rFonts w:ascii="Times New Roman"/>
          <w:b w:val="false"/>
          <w:i w:val="false"/>
          <w:color w:val="000000"/>
          <w:sz w:val="28"/>
        </w:rPr>
        <w:t>
      6)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pPr>
        <w:spacing w:after="0"/>
        <w:ind w:left="0"/>
        <w:jc w:val="both"/>
      </w:pPr>
      <w:r>
        <w:rPr>
          <w:rFonts w:ascii="Times New Roman"/>
          <w:b w:val="false"/>
          <w:i w:val="false"/>
          <w:color w:val="000000"/>
          <w:sz w:val="28"/>
        </w:rPr>
        <w:t>
      7)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үштігі негізінде жүзеге асыратын медицина қызметкері.";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 w:id="2"/>
    <w:p>
      <w:pPr>
        <w:spacing w:after="0"/>
        <w:ind w:left="0"/>
        <w:jc w:val="both"/>
      </w:pPr>
      <w:r>
        <w:rPr>
          <w:rFonts w:ascii="Times New Roman"/>
          <w:b w:val="false"/>
          <w:i w:val="false"/>
          <w:color w:val="000000"/>
          <w:sz w:val="28"/>
        </w:rPr>
        <w:t>
      "2) меншік иесінің және уәкілетті органның келісімі болған кезде облыстың, республикалық маңызы бар қаланың және астананың жергілікті атқарушы органының шешімі негізінде екінші деңгейде медициналық көмек көрсететін денсаулық сақтау ұйымы алады.";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3"/>
    <w:p>
      <w:pPr>
        <w:spacing w:after="0"/>
        <w:ind w:left="0"/>
        <w:jc w:val="both"/>
      </w:pPr>
      <w:r>
        <w:rPr>
          <w:rFonts w:ascii="Times New Roman"/>
          <w:b w:val="false"/>
          <w:i w:val="false"/>
          <w:color w:val="000000"/>
          <w:sz w:val="28"/>
        </w:rPr>
        <w:t>
      "1) медициналық қызметтер көрсету;";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3-қосымшамен бекітілген Университеттік аурухана туралы ереже және оған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университеттік аурухана туралы ереже және оған қойылатын талаптар (бұдан әрі – Ереже)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3" w:id="4"/>
    <w:p>
      <w:pPr>
        <w:spacing w:after="0"/>
        <w:ind w:left="0"/>
        <w:jc w:val="both"/>
      </w:pPr>
      <w:r>
        <w:rPr>
          <w:rFonts w:ascii="Times New Roman"/>
          <w:b w:val="false"/>
          <w:i w:val="false"/>
          <w:color w:val="000000"/>
          <w:sz w:val="28"/>
        </w:rPr>
        <w:t>
      "2) медициналық көмек көрсететін көпбейінді денсаулық сақтау ұйымы:</w:t>
      </w:r>
    </w:p>
    <w:bookmarkEnd w:id="4"/>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беруді сенімгерлік басқаруындағы ұйым;</w:t>
      </w:r>
    </w:p>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ұйымының еншілес ұйымы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 w:id="5"/>
    <w:p>
      <w:pPr>
        <w:spacing w:after="0"/>
        <w:ind w:left="0"/>
        <w:jc w:val="both"/>
      </w:pPr>
      <w:r>
        <w:rPr>
          <w:rFonts w:ascii="Times New Roman"/>
          <w:b w:val="false"/>
          <w:i w:val="false"/>
          <w:color w:val="000000"/>
          <w:sz w:val="28"/>
        </w:rPr>
        <w:t>
      "1) медициналық қызметтер көрсету;";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4-қосымшамен бекітілген Резидентура базасы туралы ереже және оған қойылатын </w:t>
      </w:r>
      <w:r>
        <w:rPr>
          <w:rFonts w:ascii="Times New Roman"/>
          <w:b w:val="false"/>
          <w:i w:val="false"/>
          <w:color w:val="000000"/>
          <w:sz w:val="28"/>
        </w:rPr>
        <w:t>талаптар</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резидентура базасы туралы ереже және оған қойылатын талаптар (бұдан әрі – Ереже)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1-бабы 1-тармағының </w:t>
      </w:r>
      <w:r>
        <w:rPr>
          <w:rFonts w:ascii="Times New Roman"/>
          <w:b w:val="false"/>
          <w:i w:val="false"/>
          <w:color w:val="000000"/>
          <w:sz w:val="28"/>
        </w:rPr>
        <w:t>217) тармақшасына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5-қосымшамен бекітілген интеграцияланған академиялық медициналық орталық туралы ереже және оған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интеграцияланған академиялық медициналық орталық туралы ереже және оған қойылатын талаптар (бұдан әрі – Ереже)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Start w:name="z33" w:id="6"/>
    <w:p>
      <w:pPr>
        <w:spacing w:after="0"/>
        <w:ind w:left="0"/>
        <w:jc w:val="both"/>
      </w:pPr>
      <w:r>
        <w:rPr>
          <w:rFonts w:ascii="Times New Roman"/>
          <w:b w:val="false"/>
          <w:i w:val="false"/>
          <w:color w:val="000000"/>
          <w:sz w:val="28"/>
        </w:rPr>
        <w:t>
      мынадай мазмұндағы 3-1-тармақпен толықтырылсын:</w:t>
      </w:r>
    </w:p>
    <w:bookmarkEnd w:id="6"/>
    <w:bookmarkStart w:name="z34" w:id="7"/>
    <w:p>
      <w:pPr>
        <w:spacing w:after="0"/>
        <w:ind w:left="0"/>
        <w:jc w:val="both"/>
      </w:pPr>
      <w:r>
        <w:rPr>
          <w:rFonts w:ascii="Times New Roman"/>
          <w:b w:val="false"/>
          <w:i w:val="false"/>
          <w:color w:val="000000"/>
          <w:sz w:val="28"/>
        </w:rPr>
        <w:t>
      "Базасында денсаулық сақтау саласындағы білім беру ұйымдарының бөлімшелері (бейінді клиникалар, клиникалық кафедралар) орналасқан интеграцияланған академиялық медициналық орталықтың клиникалық бөлімшелерінде көрсетілген медициналық қызметтер үшін тегін медициналық көмектің кепілдік берілген көлемі шеңберінде және міндетті әлеуметтік медициналық сақтандыру жүйесінде қосымша қаржыландыру коэффициенті белгіленеді.";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тармақтар</w:t>
      </w:r>
      <w:r>
        <w:rPr>
          <w:rFonts w:ascii="Times New Roman"/>
          <w:b w:val="false"/>
          <w:i w:val="false"/>
          <w:color w:val="000000"/>
          <w:sz w:val="28"/>
        </w:rPr>
        <w:t xml:space="preserve"> мынадай редакцияда жазылсын:</w:t>
      </w:r>
    </w:p>
    <w:bookmarkStart w:name="z37" w:id="8"/>
    <w:p>
      <w:pPr>
        <w:spacing w:after="0"/>
        <w:ind w:left="0"/>
        <w:jc w:val="both"/>
      </w:pPr>
      <w:r>
        <w:rPr>
          <w:rFonts w:ascii="Times New Roman"/>
          <w:b w:val="false"/>
          <w:i w:val="false"/>
          <w:color w:val="000000"/>
          <w:sz w:val="28"/>
        </w:rPr>
        <w:t>
      "5. Алға қойылған міндеттерді шешу үшін интеграцияланған академиялық медициналық орталық мынадай функцияларды жүзеге асырады:</w:t>
      </w:r>
    </w:p>
    <w:bookmarkEnd w:id="8"/>
    <w:p>
      <w:pPr>
        <w:spacing w:after="0"/>
        <w:ind w:left="0"/>
        <w:jc w:val="both"/>
      </w:pPr>
      <w:r>
        <w:rPr>
          <w:rFonts w:ascii="Times New Roman"/>
          <w:b w:val="false"/>
          <w:i w:val="false"/>
          <w:color w:val="000000"/>
          <w:sz w:val="28"/>
        </w:rPr>
        <w:t>
      1) ғылыми зерттеулердің нәтижелерін оқу және клиникалық процесте пайдалану, жоғары және (немесе) жоғары оқу орнынан кейінгі медициналық білім беру ұйымының, ғылыми ұйымдар мен клиникалық базалар арасында тығыз байланыстар орнату есебінен білімнің, ғылымның және практиканың интеграциялануын қамтамасыз ету;</w:t>
      </w:r>
    </w:p>
    <w:p>
      <w:pPr>
        <w:spacing w:after="0"/>
        <w:ind w:left="0"/>
        <w:jc w:val="both"/>
      </w:pPr>
      <w:r>
        <w:rPr>
          <w:rFonts w:ascii="Times New Roman"/>
          <w:b w:val="false"/>
          <w:i w:val="false"/>
          <w:color w:val="000000"/>
          <w:sz w:val="28"/>
        </w:rPr>
        <w:t>
      2) ғылыми, білім беру және клиникалық қызметтердің тиімділігін арттыру үшін ресурстарды бірлесіп пайдалану;</w:t>
      </w:r>
    </w:p>
    <w:p>
      <w:pPr>
        <w:spacing w:after="0"/>
        <w:ind w:left="0"/>
        <w:jc w:val="both"/>
      </w:pPr>
      <w:r>
        <w:rPr>
          <w:rFonts w:ascii="Times New Roman"/>
          <w:b w:val="false"/>
          <w:i w:val="false"/>
          <w:color w:val="000000"/>
          <w:sz w:val="28"/>
        </w:rPr>
        <w:t>
      3) білім беру, ғылыми және клиникалық қызметтерді қамтамасыз ету үшін бірыңғай ақпараттық орта құру;</w:t>
      </w:r>
    </w:p>
    <w:p>
      <w:pPr>
        <w:spacing w:after="0"/>
        <w:ind w:left="0"/>
        <w:jc w:val="both"/>
      </w:pPr>
      <w:r>
        <w:rPr>
          <w:rFonts w:ascii="Times New Roman"/>
          <w:b w:val="false"/>
          <w:i w:val="false"/>
          <w:color w:val="000000"/>
          <w:sz w:val="28"/>
        </w:rPr>
        <w:t>
      4) бірлестік базасында денсаулық сақтау қызметкерлерін үздіксіз кәсіптік дамытуды даярлаудың бірыңғай жүйесін іске асыру;</w:t>
      </w:r>
    </w:p>
    <w:p>
      <w:pPr>
        <w:spacing w:after="0"/>
        <w:ind w:left="0"/>
        <w:jc w:val="both"/>
      </w:pPr>
      <w:r>
        <w:rPr>
          <w:rFonts w:ascii="Times New Roman"/>
          <w:b w:val="false"/>
          <w:i w:val="false"/>
          <w:color w:val="000000"/>
          <w:sz w:val="28"/>
        </w:rPr>
        <w:t>
      5) ғылыми зерттеулердің нәтижелерін білім беру процесі мен практикаларға тиімді көшіруді қамтамасыз ету;</w:t>
      </w:r>
    </w:p>
    <w:p>
      <w:pPr>
        <w:spacing w:after="0"/>
        <w:ind w:left="0"/>
        <w:jc w:val="both"/>
      </w:pPr>
      <w:r>
        <w:rPr>
          <w:rFonts w:ascii="Times New Roman"/>
          <w:b w:val="false"/>
          <w:i w:val="false"/>
          <w:color w:val="000000"/>
          <w:sz w:val="28"/>
        </w:rPr>
        <w:t>
      6) денсаулық сақтаудың басым бағыттары бойынша мамандар даярлау үшін қазіргі заманғы базаны құру;</w:t>
      </w:r>
    </w:p>
    <w:p>
      <w:pPr>
        <w:spacing w:after="0"/>
        <w:ind w:left="0"/>
        <w:jc w:val="both"/>
      </w:pPr>
      <w:r>
        <w:rPr>
          <w:rFonts w:ascii="Times New Roman"/>
          <w:b w:val="false"/>
          <w:i w:val="false"/>
          <w:color w:val="000000"/>
          <w:sz w:val="28"/>
        </w:rPr>
        <w:t>
      7) ақпаратпен және қабылданатын шешімдермен алмасу кезінде транспаренттілікті арттыру, өкілеттіктер мен міндеттерді бөлу, еңбек жағдайлары мен қоршаған орта үшін жауапкершілікті қамтамасыз ету жолымен басқарудың тиімді корпоративтік жүйесін қалыптастыру;</w:t>
      </w:r>
    </w:p>
    <w:p>
      <w:pPr>
        <w:spacing w:after="0"/>
        <w:ind w:left="0"/>
        <w:jc w:val="both"/>
      </w:pPr>
      <w:r>
        <w:rPr>
          <w:rFonts w:ascii="Times New Roman"/>
          <w:b w:val="false"/>
          <w:i w:val="false"/>
          <w:color w:val="000000"/>
          <w:sz w:val="28"/>
        </w:rPr>
        <w:t>
      8) үздік халықаралық практика негізінде диагностика және емдеу хаттамаларын талдау, сынақтан өткізу, енгізу және іске асыру, оларды кейіннен республиканың практикалық денсаулық сақтау саласына, оның ішінде республикада тіркелмеген және (FDA) (Америка Құрама Штаттары) сертификаты, (CE) (Еуропалық Одақ) сертификаты бар дәрілік препараттар мен медициналық бұйымдарды қолдана отырып трансляциялау;</w:t>
      </w:r>
    </w:p>
    <w:p>
      <w:pPr>
        <w:spacing w:after="0"/>
        <w:ind w:left="0"/>
        <w:jc w:val="both"/>
      </w:pPr>
      <w:r>
        <w:rPr>
          <w:rFonts w:ascii="Times New Roman"/>
          <w:b w:val="false"/>
          <w:i w:val="false"/>
          <w:color w:val="000000"/>
          <w:sz w:val="28"/>
        </w:rPr>
        <w:t>
      9) халықаралық танылған санитариялық-эпидемиологиялық стандарттарды талдау, сынақтан өткізу, енгізу және пайдалану;</w:t>
      </w:r>
    </w:p>
    <w:p>
      <w:pPr>
        <w:spacing w:after="0"/>
        <w:ind w:left="0"/>
        <w:jc w:val="both"/>
      </w:pPr>
      <w:r>
        <w:rPr>
          <w:rFonts w:ascii="Times New Roman"/>
          <w:b w:val="false"/>
          <w:i w:val="false"/>
          <w:color w:val="000000"/>
          <w:sz w:val="28"/>
        </w:rPr>
        <w:t>
      10) өз біліктілігін арттыру және мамандандыру бағдарламаларын іске асыру;</w:t>
      </w:r>
    </w:p>
    <w:p>
      <w:pPr>
        <w:spacing w:after="0"/>
        <w:ind w:left="0"/>
        <w:jc w:val="both"/>
      </w:pPr>
      <w:r>
        <w:rPr>
          <w:rFonts w:ascii="Times New Roman"/>
          <w:b w:val="false"/>
          <w:i w:val="false"/>
          <w:color w:val="000000"/>
          <w:sz w:val="28"/>
        </w:rPr>
        <w:t>
      11) инновациялық медициналық технологияларды әзірлеу және клиникалық практикаға енгізу;</w:t>
      </w:r>
    </w:p>
    <w:p>
      <w:pPr>
        <w:spacing w:after="0"/>
        <w:ind w:left="0"/>
        <w:jc w:val="both"/>
      </w:pPr>
      <w:r>
        <w:rPr>
          <w:rFonts w:ascii="Times New Roman"/>
          <w:b w:val="false"/>
          <w:i w:val="false"/>
          <w:color w:val="000000"/>
          <w:sz w:val="28"/>
        </w:rPr>
        <w:t>
      12) Қазақстан Республикасының қолданыстағы заңнамасы шеңберінде медициналық білім беру жүйесін дамытуды қамтамасыз ету үшін озық әлемдік білім беру технологияларын енгізу;</w:t>
      </w:r>
    </w:p>
    <w:p>
      <w:pPr>
        <w:spacing w:after="0"/>
        <w:ind w:left="0"/>
        <w:jc w:val="both"/>
      </w:pPr>
      <w:r>
        <w:rPr>
          <w:rFonts w:ascii="Times New Roman"/>
          <w:b w:val="false"/>
          <w:i w:val="false"/>
          <w:color w:val="000000"/>
          <w:sz w:val="28"/>
        </w:rPr>
        <w:t>
      13) Қазақстан Республикасының қолданыстағы заңнамасы шеңберінде халықаралық тәсілдер негізінде республиканың практикалық денсаулық сақтау қажеттілігіне сәйкес білім беру бағдарламаларын әзірлеу және іске асыру;</w:t>
      </w:r>
    </w:p>
    <w:p>
      <w:pPr>
        <w:spacing w:after="0"/>
        <w:ind w:left="0"/>
        <w:jc w:val="both"/>
      </w:pPr>
      <w:r>
        <w:rPr>
          <w:rFonts w:ascii="Times New Roman"/>
          <w:b w:val="false"/>
          <w:i w:val="false"/>
          <w:color w:val="000000"/>
          <w:sz w:val="28"/>
        </w:rPr>
        <w:t>
      14) денсаулық сақтау жүйесіне апробацияланған инновациялық медициналық технологияларды, біліктілікті арттыру және мамандандыру бағдарламаларын, білім беру бағдарламаларын, халықаралық стандарттарды трансляциялау.";</w:t>
      </w:r>
    </w:p>
    <w:bookmarkStart w:name="z38" w:id="9"/>
    <w:p>
      <w:pPr>
        <w:spacing w:after="0"/>
        <w:ind w:left="0"/>
        <w:jc w:val="both"/>
      </w:pPr>
      <w:r>
        <w:rPr>
          <w:rFonts w:ascii="Times New Roman"/>
          <w:b w:val="false"/>
          <w:i w:val="false"/>
          <w:color w:val="000000"/>
          <w:sz w:val="28"/>
        </w:rPr>
        <w:t>
      "6. Интеграцияланған академиялық медициналық орталыққа қойылатын талаптар:</w:t>
      </w:r>
    </w:p>
    <w:bookmarkEnd w:id="9"/>
    <w:p>
      <w:pPr>
        <w:spacing w:after="0"/>
        <w:ind w:left="0"/>
        <w:jc w:val="both"/>
      </w:pPr>
      <w:r>
        <w:rPr>
          <w:rFonts w:ascii="Times New Roman"/>
          <w:b w:val="false"/>
          <w:i w:val="false"/>
          <w:color w:val="000000"/>
          <w:sz w:val="28"/>
        </w:rPr>
        <w:t>
      1) интеграцияланған академиялық медициналық орталықтың құрамына енетін ұйымдар арасында жасалған бірлескен қызмет туралы шарттың болуы;</w:t>
      </w:r>
    </w:p>
    <w:p>
      <w:pPr>
        <w:spacing w:after="0"/>
        <w:ind w:left="0"/>
        <w:jc w:val="both"/>
      </w:pPr>
      <w:r>
        <w:rPr>
          <w:rFonts w:ascii="Times New Roman"/>
          <w:b w:val="false"/>
          <w:i w:val="false"/>
          <w:color w:val="000000"/>
          <w:sz w:val="28"/>
        </w:rPr>
        <w:t>
      2) алқалы басқару органы мен атқарушы органның болуы;</w:t>
      </w:r>
    </w:p>
    <w:p>
      <w:pPr>
        <w:spacing w:after="0"/>
        <w:ind w:left="0"/>
        <w:jc w:val="both"/>
      </w:pPr>
      <w:r>
        <w:rPr>
          <w:rFonts w:ascii="Times New Roman"/>
          <w:b w:val="false"/>
          <w:i w:val="false"/>
          <w:color w:val="000000"/>
          <w:sz w:val="28"/>
        </w:rPr>
        <w:t>
      3) интеграцияланған академиялық медициналық орталықтың алқалы басқару органы бекіткен даму стратегиясының болуы;</w:t>
      </w:r>
    </w:p>
    <w:p>
      <w:pPr>
        <w:spacing w:after="0"/>
        <w:ind w:left="0"/>
        <w:jc w:val="both"/>
      </w:pPr>
      <w:r>
        <w:rPr>
          <w:rFonts w:ascii="Times New Roman"/>
          <w:b w:val="false"/>
          <w:i w:val="false"/>
          <w:color w:val="000000"/>
          <w:sz w:val="28"/>
        </w:rPr>
        <w:t>
      4) интеграцияланған академиялық медициналық орталық құрамына кіретін Университеттің шетелдік оқытушы-профессорлар құрамының үлесі штат санының кемінде бес пайызын құрайды;</w:t>
      </w:r>
    </w:p>
    <w:p>
      <w:pPr>
        <w:spacing w:after="0"/>
        <w:ind w:left="0"/>
        <w:jc w:val="both"/>
      </w:pPr>
      <w:r>
        <w:rPr>
          <w:rFonts w:ascii="Times New Roman"/>
          <w:b w:val="false"/>
          <w:i w:val="false"/>
          <w:color w:val="000000"/>
          <w:sz w:val="28"/>
        </w:rPr>
        <w:t>
      5) халықаралық біріккен комиссияның (JCI, Америка Құрама Штаттары) стандарттары бойынша аккредиттеуден өткені туралы куәлігі бар өзінің көпбейінді университеттік ауруханасының болуы;</w:t>
      </w:r>
    </w:p>
    <w:p>
      <w:pPr>
        <w:spacing w:after="0"/>
        <w:ind w:left="0"/>
        <w:jc w:val="both"/>
      </w:pPr>
      <w:r>
        <w:rPr>
          <w:rFonts w:ascii="Times New Roman"/>
          <w:b w:val="false"/>
          <w:i w:val="false"/>
          <w:color w:val="000000"/>
          <w:sz w:val="28"/>
        </w:rPr>
        <w:t>
      6) тиісті зертханалық практика (GLP) және (немесе) тиісті клиникалық практиканың (GCP) стандарттарына сәйкес келетін өзінің ғылыми зертханасының болуы.".</w:t>
      </w:r>
    </w:p>
    <w:bookmarkStart w:name="z39" w:id="1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0"/>
    <w:bookmarkStart w:name="z40"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41" w:id="1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2"/>
    <w:bookmarkStart w:name="z42" w:id="1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4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
    <w:bookmarkStart w:name="z44" w:id="1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