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9352" w14:textId="22d9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міндетің атқарушы 2020 жылғы 10 сәуірдегі № 195 бұйрығына және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қағидаларын бекіту туралы" Қазақстан Республикасы Индустрия және инфрақұрылымдық даму министрінің 2021 жылғы 31 наурыздағы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14 сәуірдегі № 256 бұйрығы. Қазақстан Республикасының Әділет министрлігінде 2023 жылғы 17 сәуірде № 32324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міндетін атқарушының 2020 жылғы 10 сәуірдегі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20376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барлауға арналған </w:t>
      </w:r>
      <w:r>
        <w:rPr>
          <w:rFonts w:ascii="Times New Roman"/>
          <w:b w:val="false"/>
          <w:i w:val="false"/>
          <w:color w:val="000000"/>
          <w:sz w:val="28"/>
        </w:rPr>
        <w:t>модельдік келісімшартта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алынып тасталсын;</w:t>
      </w:r>
    </w:p>
    <w:bookmarkStart w:name="z4"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өндіруге арналған </w:t>
      </w:r>
      <w:r>
        <w:rPr>
          <w:rFonts w:ascii="Times New Roman"/>
          <w:b w:val="false"/>
          <w:i w:val="false"/>
          <w:color w:val="000000"/>
          <w:sz w:val="28"/>
        </w:rPr>
        <w:t>модельдік келісімшартта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"26. Келісімшарт шеңберіндегі, сондай-ақ өндірістік қызмет (технологиялық цикл) шеңберінде қосылған құны жоғары өнімді (қайта бөлімдерді) алуға, экология, еңбекті қорғау, саласындағы зерттеулерге, жұмыстарды қауіпсіз жүргізуді, энергия үнемдеуді қамтамасыз етуге бағытталған Келісімшартпен байланысты емес қызметке қызметке байланысты көрсетілген жұмыстарға жер қойнауын пайдаланушының нақты шеккен шығыстары және Қазақстан Республикасының ғылым және ғылыми-техникалық қызмет саласындағы заңнамалық актісіне сәйкес ғылыми және (немесе) ғылыми-техникалық қызмет субъектілері жүзеге асыратын ғылыми зерттеулерді, сондай-ақ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инфрақұрылым элементтерін қаржыландыруға арналған шығыстар ғылыми-зерттеу, ғылыми-техникалық және (немесе) тәжірибелік-конструкторлық жұмыстарды қаржыландыру жөніндегі міндеттеменің орындалуы болып табылады.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p>
    <w:bookmarkStart w:name="z6" w:id="3"/>
    <w:p>
      <w:pPr>
        <w:spacing w:after="0"/>
        <w:ind w:left="0"/>
        <w:jc w:val="both"/>
      </w:pPr>
      <w:r>
        <w:rPr>
          <w:rFonts w:ascii="Times New Roman"/>
          <w:b w:val="false"/>
          <w:i w:val="false"/>
          <w:color w:val="000000"/>
          <w:sz w:val="28"/>
        </w:rPr>
        <w:t xml:space="preserve">
      2.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қағидаларын бекіту туралы" Қазақстан Республикасы Индустрия және инфрақұрылымдық даму министрінің 2021 жылғы 31 наурыздағы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22470 болып тіркелген) мынадай өзгерістер енгізілсін: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