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0260" w14:textId="8c10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гастроэнтерологиялық және гепатологиялық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29 наурыздағы № 48 бұйрығы. Қазақстан Республикасының Әділет министрлігінде 2023 жылғы 31 наурызда № 32185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Республикасында гастроэнтерологиялық және гепатологиялық көмек көрсетуді ұйымдастыру стандарты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Республикасында гастроэнтерологиялық және гепатологиялық көмек көрсетуді ұйымдастыру стандартын бекіту туралы және Қазақстан Республикасы Денсаулық сақтау министрінің міндетін атқарушының кейбір бұйрықтарының күші жойылды деп тану туралы" Қазақстан Республикасы Денсаулық сақтау министрінің 2019 жылғы 4 мамырдағы № ҚР ДСМ-63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18647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 2023 жылғы 29 наурыздағы</w:t>
            </w:r>
            <w:r>
              <w:br/>
            </w:r>
            <w:r>
              <w:rPr>
                <w:rFonts w:ascii="Times New Roman"/>
                <w:b w:val="false"/>
                <w:i w:val="false"/>
                <w:color w:val="000000"/>
                <w:sz w:val="20"/>
              </w:rPr>
              <w:t>№ 48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Республикасында гастроэнтерологиялық және гепатологиялық көмек көрсетуді ұйымдастыру стандарты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Республикасында гастроэнтерологиялық және гепатологиялық көмек көрсетуді ұйымдастыру стандарты (бұдан әрі – Стандарт)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және терепия бейінінің меншік нысанына және ведомстволық бағыныстылығына қарамастан денсаулық сақтау ұйымдарында асқорыту ағзалары ауруларымен ауыратын пациенттерді гастроэнтерологиялық және гепатологиялық көмек көрсетуді ұйымдастыру процестеріне қойылатын талаптар мен қағидаларды белгілейді.</w:t>
      </w:r>
    </w:p>
    <w:bookmarkEnd w:id="10"/>
    <w:bookmarkStart w:name="z13" w:id="11"/>
    <w:p>
      <w:pPr>
        <w:spacing w:after="0"/>
        <w:ind w:left="0"/>
        <w:jc w:val="both"/>
      </w:pPr>
      <w:r>
        <w:rPr>
          <w:rFonts w:ascii="Times New Roman"/>
          <w:b w:val="false"/>
          <w:i w:val="false"/>
          <w:color w:val="000000"/>
          <w:sz w:val="28"/>
        </w:rPr>
        <w:t>
      2. Осы Стандартта пайдаланылатын негізгі ұғымдар мен қысқартулар:</w:t>
      </w:r>
    </w:p>
    <w:bookmarkEnd w:id="11"/>
    <w:bookmarkStart w:name="z14" w:id="12"/>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2"/>
    <w:bookmarkStart w:name="z15" w:id="13"/>
    <w:p>
      <w:pPr>
        <w:spacing w:after="0"/>
        <w:ind w:left="0"/>
        <w:jc w:val="both"/>
      </w:pPr>
      <w:r>
        <w:rPr>
          <w:rFonts w:ascii="Times New Roman"/>
          <w:b w:val="false"/>
          <w:i w:val="false"/>
          <w:color w:val="000000"/>
          <w:sz w:val="28"/>
        </w:rPr>
        <w:t>
      2)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3"/>
    <w:bookmarkStart w:name="z16" w:id="14"/>
    <w:p>
      <w:pPr>
        <w:spacing w:after="0"/>
        <w:ind w:left="0"/>
        <w:jc w:val="both"/>
      </w:pPr>
      <w:r>
        <w:rPr>
          <w:rFonts w:ascii="Times New Roman"/>
          <w:b w:val="false"/>
          <w:i w:val="false"/>
          <w:color w:val="000000"/>
          <w:sz w:val="28"/>
        </w:rPr>
        <w:t>
      3) жоғары технологиялық медициналық көмек (бұдан әрі - ЖТМК) -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бейінді мамандар көрсететін қызмет;</w:t>
      </w:r>
    </w:p>
    <w:bookmarkEnd w:id="14"/>
    <w:bookmarkStart w:name="z17" w:id="15"/>
    <w:p>
      <w:pPr>
        <w:spacing w:after="0"/>
        <w:ind w:left="0"/>
        <w:jc w:val="both"/>
      </w:pPr>
      <w:r>
        <w:rPr>
          <w:rFonts w:ascii="Times New Roman"/>
          <w:b w:val="false"/>
          <w:i w:val="false"/>
          <w:color w:val="000000"/>
          <w:sz w:val="28"/>
        </w:rPr>
        <w:t>
      4)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5"/>
    <w:bookmarkStart w:name="z18" w:id="16"/>
    <w:p>
      <w:pPr>
        <w:spacing w:after="0"/>
        <w:ind w:left="0"/>
        <w:jc w:val="both"/>
      </w:pPr>
      <w:r>
        <w:rPr>
          <w:rFonts w:ascii="Times New Roman"/>
          <w:b w:val="false"/>
          <w:i w:val="false"/>
          <w:color w:val="000000"/>
          <w:sz w:val="28"/>
        </w:rPr>
        <w:t>
      5) консилиум - кемінде үш дәрігердің қатысуымен диагноз қою, емдеу тактикасын айқындау және ауруды болжау мақсатында адамды зерттеу;</w:t>
      </w:r>
    </w:p>
    <w:bookmarkEnd w:id="16"/>
    <w:bookmarkStart w:name="z19" w:id="17"/>
    <w:p>
      <w:pPr>
        <w:spacing w:after="0"/>
        <w:ind w:left="0"/>
        <w:jc w:val="both"/>
      </w:pPr>
      <w:r>
        <w:rPr>
          <w:rFonts w:ascii="Times New Roman"/>
          <w:b w:val="false"/>
          <w:i w:val="false"/>
          <w:color w:val="000000"/>
          <w:sz w:val="28"/>
        </w:rPr>
        <w:t>
      6)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17"/>
    <w:bookmarkStart w:name="z20" w:id="18"/>
    <w:p>
      <w:pPr>
        <w:spacing w:after="0"/>
        <w:ind w:left="0"/>
        <w:jc w:val="both"/>
      </w:pPr>
      <w:r>
        <w:rPr>
          <w:rFonts w:ascii="Times New Roman"/>
          <w:b w:val="false"/>
          <w:i w:val="false"/>
          <w:color w:val="000000"/>
          <w:sz w:val="28"/>
        </w:rPr>
        <w:t>
      7) тегін медициналық көмектің кепілдік берілген көлемі (бұдан әрі – ТМККК) - бюджет қаражаты есебінен берілетін медициналық көмектің көлемі.</w:t>
      </w:r>
    </w:p>
    <w:bookmarkEnd w:id="18"/>
    <w:bookmarkStart w:name="z21" w:id="19"/>
    <w:p>
      <w:pPr>
        <w:spacing w:after="0"/>
        <w:ind w:left="0"/>
        <w:jc w:val="both"/>
      </w:pPr>
      <w:r>
        <w:rPr>
          <w:rFonts w:ascii="Times New Roman"/>
          <w:b w:val="false"/>
          <w:i w:val="false"/>
          <w:color w:val="000000"/>
          <w:sz w:val="28"/>
        </w:rPr>
        <w:t>
      3. Гастроэнтерологиялық және гепатологиялық көмек асқорыту ағзаларының ауруларымен ауыратын пациенттерге терапиялық көмекті және шағын инвазивтік (эндоскопиялық, интервенциялық) диагностикалық және емдік манипуляцияларды қамтиды.</w:t>
      </w:r>
    </w:p>
    <w:bookmarkEnd w:id="19"/>
    <w:bookmarkStart w:name="z22" w:id="20"/>
    <w:p>
      <w:pPr>
        <w:spacing w:after="0"/>
        <w:ind w:left="0"/>
        <w:jc w:val="both"/>
      </w:pPr>
      <w:r>
        <w:rPr>
          <w:rFonts w:ascii="Times New Roman"/>
          <w:b w:val="false"/>
          <w:i w:val="false"/>
          <w:color w:val="000000"/>
          <w:sz w:val="28"/>
        </w:rPr>
        <w:t xml:space="preserve">
      4. Пациенттерге гастроэнтерологиялық және гепатологиялық көмек көрсету ТМККК шеңберінде және МӘМС жүйесінде және медициналық көмектің қосымша көлемі шеңберінде көрсетілетін медициналық көмек түрлерін қамтитын Кодекстің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202-баптарына</w:t>
      </w:r>
      <w:r>
        <w:rPr>
          <w:rFonts w:ascii="Times New Roman"/>
          <w:b w:val="false"/>
          <w:i w:val="false"/>
          <w:color w:val="000000"/>
          <w:sz w:val="28"/>
        </w:rPr>
        <w:t xml:space="preserve"> сәйкес көрсетіледі.</w:t>
      </w:r>
    </w:p>
    <w:bookmarkEnd w:id="20"/>
    <w:bookmarkStart w:name="z23" w:id="21"/>
    <w:p>
      <w:pPr>
        <w:spacing w:after="0"/>
        <w:ind w:left="0"/>
        <w:jc w:val="both"/>
      </w:pPr>
      <w:r>
        <w:rPr>
          <w:rFonts w:ascii="Times New Roman"/>
          <w:b w:val="false"/>
          <w:i w:val="false"/>
          <w:color w:val="000000"/>
          <w:sz w:val="28"/>
        </w:rPr>
        <w:t>
      5. Асқорыту ағзаларының ауруларымен ауыратын пациенттерді дәрі-дәрмекпен қамтамасыз ету ТМККК шеңберінде және (немесе) МӘМС жүйесінде жүзеге асырылады:</w:t>
      </w:r>
    </w:p>
    <w:bookmarkEnd w:id="21"/>
    <w:bookmarkStart w:name="z24" w:id="22"/>
    <w:p>
      <w:pPr>
        <w:spacing w:after="0"/>
        <w:ind w:left="0"/>
        <w:jc w:val="both"/>
      </w:pPr>
      <w:r>
        <w:rPr>
          <w:rFonts w:ascii="Times New Roman"/>
          <w:b w:val="false"/>
          <w:i w:val="false"/>
          <w:color w:val="000000"/>
          <w:sz w:val="28"/>
        </w:rPr>
        <w:t xml:space="preserve">
      1) амбулаториялық жағдайда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(бұдан әрі – № ҚР ДСМ-75 бұйрығы) сәйкес;</w:t>
      </w:r>
    </w:p>
    <w:bookmarkEnd w:id="22"/>
    <w:bookmarkStart w:name="z25" w:id="23"/>
    <w:p>
      <w:pPr>
        <w:spacing w:after="0"/>
        <w:ind w:left="0"/>
        <w:jc w:val="both"/>
      </w:pPr>
      <w:r>
        <w:rPr>
          <w:rFonts w:ascii="Times New Roman"/>
          <w:b w:val="false"/>
          <w:i w:val="false"/>
          <w:color w:val="000000"/>
          <w:sz w:val="28"/>
        </w:rPr>
        <w:t>
      2) cтационарлық немесе стационарды алмастыратын жағдайларда денсаулық сақтау ұйымы бекіткен дәрілік формуляр бойынша жүзеге асырылады.</w:t>
      </w:r>
    </w:p>
    <w:bookmarkEnd w:id="23"/>
    <w:bookmarkStart w:name="z26" w:id="24"/>
    <w:p>
      <w:pPr>
        <w:spacing w:after="0"/>
        <w:ind w:left="0"/>
        <w:jc w:val="both"/>
      </w:pPr>
      <w:r>
        <w:rPr>
          <w:rFonts w:ascii="Times New Roman"/>
          <w:b w:val="false"/>
          <w:i w:val="false"/>
          <w:color w:val="000000"/>
          <w:sz w:val="28"/>
        </w:rPr>
        <w:t>
      6. Гастроэнтерологиялық және гепатологиялық көмек КХ сәйкес, олар болмаған жағдайда гастроэнтерология және гепатология саласындағы ғылым мен практиканың қазіргі заманғы жетістіктеріне дәлелді медицина қағидаттарына негізделген профилактикалық, диагностиқалық, емдеу әдістеріне сәйкес көрсетіледі.</w:t>
      </w:r>
    </w:p>
    <w:bookmarkEnd w:id="24"/>
    <w:bookmarkStart w:name="z27" w:id="25"/>
    <w:p>
      <w:pPr>
        <w:spacing w:after="0"/>
        <w:ind w:left="0"/>
        <w:jc w:val="both"/>
      </w:pPr>
      <w:r>
        <w:rPr>
          <w:rFonts w:ascii="Times New Roman"/>
          <w:b w:val="false"/>
          <w:i w:val="false"/>
          <w:color w:val="000000"/>
          <w:sz w:val="28"/>
        </w:rPr>
        <w:t>
      7. Гастроэнтерологиялық және гепатологиялық көмекті "Рұқсаттар және хабарламалар туралы" Қазақстан Республикасының Заңына сәйкес медициналық қызметтің "Гастроэнтерология", "Ультрадыбыстық" және "Эндоскопиялық" кіші түрлері бойынша лицензиясы бар денсаулық сақтау ұйымдары көрсетеді.</w:t>
      </w:r>
    </w:p>
    <w:bookmarkEnd w:id="25"/>
    <w:bookmarkStart w:name="z28" w:id="26"/>
    <w:p>
      <w:pPr>
        <w:spacing w:after="0"/>
        <w:ind w:left="0"/>
        <w:jc w:val="both"/>
      </w:pPr>
      <w:r>
        <w:rPr>
          <w:rFonts w:ascii="Times New Roman"/>
          <w:b w:val="false"/>
          <w:i w:val="false"/>
          <w:color w:val="000000"/>
          <w:sz w:val="28"/>
        </w:rPr>
        <w:t xml:space="preserve">
      8. Медициналық есепке алу құжаттамасын жүргізу және есептерді беру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нысандар бойынша қызмет ерекшеліктері ескеріле отырып жүзеге асырылады.</w:t>
      </w:r>
    </w:p>
    <w:bookmarkEnd w:id="26"/>
    <w:bookmarkStart w:name="z29" w:id="27"/>
    <w:p>
      <w:pPr>
        <w:spacing w:after="0"/>
        <w:ind w:left="0"/>
        <w:jc w:val="left"/>
      </w:pPr>
      <w:r>
        <w:rPr>
          <w:rFonts w:ascii="Times New Roman"/>
          <w:b/>
          <w:i w:val="false"/>
          <w:color w:val="000000"/>
        </w:rPr>
        <w:t xml:space="preserve"> 2-тарау. Гастроэнтерологиялық және гепатологиялық көмек көрсететін ұйымдардың құрылымы</w:t>
      </w:r>
    </w:p>
    <w:bookmarkEnd w:id="27"/>
    <w:bookmarkStart w:name="z30" w:id="28"/>
    <w:p>
      <w:pPr>
        <w:spacing w:after="0"/>
        <w:ind w:left="0"/>
        <w:jc w:val="both"/>
      </w:pPr>
      <w:r>
        <w:rPr>
          <w:rFonts w:ascii="Times New Roman"/>
          <w:b w:val="false"/>
          <w:i w:val="false"/>
          <w:color w:val="000000"/>
          <w:sz w:val="28"/>
        </w:rPr>
        <w:t>
      9. Гастроэнтерологиялық және гепатологиялық көмек көрсететін ұйымдардың құрылымы:</w:t>
      </w:r>
    </w:p>
    <w:bookmarkEnd w:id="28"/>
    <w:bookmarkStart w:name="z31" w:id="29"/>
    <w:p>
      <w:pPr>
        <w:spacing w:after="0"/>
        <w:ind w:left="0"/>
        <w:jc w:val="both"/>
      </w:pPr>
      <w:r>
        <w:rPr>
          <w:rFonts w:ascii="Times New Roman"/>
          <w:b w:val="false"/>
          <w:i w:val="false"/>
          <w:color w:val="000000"/>
          <w:sz w:val="28"/>
        </w:rPr>
        <w:t>
      1) аудандық, қалалық және облыстық деңгейлердегі медициналық-санитариялық алғашқы көмек (бұдан әрі – МСАК) ұйымдарын;</w:t>
      </w:r>
    </w:p>
    <w:bookmarkEnd w:id="29"/>
    <w:bookmarkStart w:name="z32" w:id="30"/>
    <w:p>
      <w:pPr>
        <w:spacing w:after="0"/>
        <w:ind w:left="0"/>
        <w:jc w:val="both"/>
      </w:pPr>
      <w:r>
        <w:rPr>
          <w:rFonts w:ascii="Times New Roman"/>
          <w:b w:val="false"/>
          <w:i w:val="false"/>
          <w:color w:val="000000"/>
          <w:sz w:val="28"/>
        </w:rPr>
        <w:t>
      2) мамандандырылған гастроэнтеролог кабинеті (бұдан әрі – Гастроэнтеролог кабинеті) аудандық, қалалық, облыстық деңгейлердегі емханалардағы, көпбейінді ауруханаларды консультативтік-диагностикалық бөлімшелеріндегі, консультативті-диагностикалық орталықтардағы, гастроэнтеролог кабинеті құрылған денсаулық сақтау ұйымдарында сәулелік және эндоскопиялық диагностиканы орындауды қамтамасыз етеді;</w:t>
      </w:r>
    </w:p>
    <w:bookmarkEnd w:id="30"/>
    <w:bookmarkStart w:name="z33" w:id="31"/>
    <w:p>
      <w:pPr>
        <w:spacing w:after="0"/>
        <w:ind w:left="0"/>
        <w:jc w:val="both"/>
      </w:pPr>
      <w:r>
        <w:rPr>
          <w:rFonts w:ascii="Times New Roman"/>
          <w:b w:val="false"/>
          <w:i w:val="false"/>
          <w:color w:val="000000"/>
          <w:sz w:val="28"/>
        </w:rPr>
        <w:t>
      3) облыстық, республикалық маңызы бар қалалардың және астананың денсаулық сақтау басқармасының жергілікті органдарының (бұдан әрі – Денсаулық сақтау басқармасы) ведомстволық бағынысты қарамағындағы медициналық көп бейінді ауруханалар мен емханалардың құрамына кіретін гепатологиялық орталық (бұдан әрі – ГО) құрылымы: бір облысқа, республикалық маңызы бар қалаға кемінде бір ГО есебінен құрылады;</w:t>
      </w:r>
    </w:p>
    <w:bookmarkEnd w:id="31"/>
    <w:bookmarkStart w:name="z34" w:id="32"/>
    <w:p>
      <w:pPr>
        <w:spacing w:after="0"/>
        <w:ind w:left="0"/>
        <w:jc w:val="both"/>
      </w:pPr>
      <w:r>
        <w:rPr>
          <w:rFonts w:ascii="Times New Roman"/>
          <w:b w:val="false"/>
          <w:i w:val="false"/>
          <w:color w:val="000000"/>
          <w:sz w:val="28"/>
        </w:rPr>
        <w:t>
      4) гастроэнтерологиялық бөлімшелер немесе аудандық, қалалық, облыстық, республикалық маңызы бар қалалар деңгейлеріндегі көп бейінді (балалар, ересектер) ауруханаларының және ғылыми ұйымдардың құрылымындағы төсектерді қамтиды.</w:t>
      </w:r>
    </w:p>
    <w:bookmarkEnd w:id="32"/>
    <w:bookmarkStart w:name="z35" w:id="33"/>
    <w:p>
      <w:pPr>
        <w:spacing w:after="0"/>
        <w:ind w:left="0"/>
        <w:jc w:val="left"/>
      </w:pPr>
      <w:r>
        <w:rPr>
          <w:rFonts w:ascii="Times New Roman"/>
          <w:b/>
          <w:i w:val="false"/>
          <w:color w:val="000000"/>
        </w:rPr>
        <w:t xml:space="preserve"> 3-тарау. Гастроэнтерологиялық және гепатологиялық көмек  көрсететін денсаулық сақтау ұйымдары  қызметінің негізгі бағыттары</w:t>
      </w:r>
    </w:p>
    <w:bookmarkEnd w:id="33"/>
    <w:bookmarkStart w:name="z36" w:id="34"/>
    <w:p>
      <w:pPr>
        <w:spacing w:after="0"/>
        <w:ind w:left="0"/>
        <w:jc w:val="both"/>
      </w:pPr>
      <w:r>
        <w:rPr>
          <w:rFonts w:ascii="Times New Roman"/>
          <w:b w:val="false"/>
          <w:i w:val="false"/>
          <w:color w:val="000000"/>
          <w:sz w:val="28"/>
        </w:rPr>
        <w:t>
      10. Гастроэнтерологиялық және гепатологиялық көмек көрсететін денсаулық сақтау ұйымдары қызметінің негізгі бағыттары:</w:t>
      </w:r>
    </w:p>
    <w:bookmarkEnd w:id="34"/>
    <w:bookmarkStart w:name="z37" w:id="35"/>
    <w:p>
      <w:pPr>
        <w:spacing w:after="0"/>
        <w:ind w:left="0"/>
        <w:jc w:val="both"/>
      </w:pPr>
      <w:r>
        <w:rPr>
          <w:rFonts w:ascii="Times New Roman"/>
          <w:b w:val="false"/>
          <w:i w:val="false"/>
          <w:color w:val="000000"/>
          <w:sz w:val="28"/>
        </w:rPr>
        <w:t>
      1) барлық кезеңдерде сабақтастықты сақтай отырып бастапқы профилактикаға, диагностикаға, емдеуге бағытталған іс-шараларды ұйымдастыру және өткізу, динамикалық байқау, қатерлі ісіктердің ерте диагностикасы, пациенттерді медициналық оңалту;</w:t>
      </w:r>
    </w:p>
    <w:bookmarkEnd w:id="35"/>
    <w:bookmarkStart w:name="z38" w:id="36"/>
    <w:p>
      <w:pPr>
        <w:spacing w:after="0"/>
        <w:ind w:left="0"/>
        <w:jc w:val="both"/>
      </w:pPr>
      <w:r>
        <w:rPr>
          <w:rFonts w:ascii="Times New Roman"/>
          <w:b w:val="false"/>
          <w:i w:val="false"/>
          <w:color w:val="000000"/>
          <w:sz w:val="28"/>
        </w:rPr>
        <w:t>
      2) халыққа және денсаулық субъектілеріне асқорыту ағзаларының аурулары мәселелері бойынша ақпараттық-консультациялық және ұйымдастырушылық-әдістемелік көмек, оның ішінде қашықтықтан медициналық қызмет көрсету;</w:t>
      </w:r>
    </w:p>
    <w:bookmarkEnd w:id="36"/>
    <w:bookmarkStart w:name="z39" w:id="37"/>
    <w:p>
      <w:pPr>
        <w:spacing w:after="0"/>
        <w:ind w:left="0"/>
        <w:jc w:val="both"/>
      </w:pPr>
      <w:r>
        <w:rPr>
          <w:rFonts w:ascii="Times New Roman"/>
          <w:b w:val="false"/>
          <w:i w:val="false"/>
          <w:color w:val="000000"/>
          <w:sz w:val="28"/>
        </w:rPr>
        <w:t>
      3) клиникалық гастроэнтерология және гепатология саласында ғылыми-зерттеу қызметіне қатысу және өткізу, инновациялық технологияларды ендіру;</w:t>
      </w:r>
    </w:p>
    <w:bookmarkEnd w:id="37"/>
    <w:bookmarkStart w:name="z40" w:id="38"/>
    <w:p>
      <w:pPr>
        <w:spacing w:after="0"/>
        <w:ind w:left="0"/>
        <w:jc w:val="both"/>
      </w:pPr>
      <w:r>
        <w:rPr>
          <w:rFonts w:ascii="Times New Roman"/>
          <w:b w:val="false"/>
          <w:i w:val="false"/>
          <w:color w:val="000000"/>
          <w:sz w:val="28"/>
        </w:rPr>
        <w:t>
      4) денсаулық сақтау ұйымдарында жұмыс істеп тұрған ақпараттық жүйелерді (бұдан әрі – АЖ) қолданыстағы АЖ-мен қолданылатын интеграциясын қамтамасыз ету.</w:t>
      </w:r>
    </w:p>
    <w:bookmarkEnd w:id="38"/>
    <w:bookmarkStart w:name="z41" w:id="39"/>
    <w:p>
      <w:pPr>
        <w:spacing w:after="0"/>
        <w:ind w:left="0"/>
        <w:jc w:val="both"/>
      </w:pPr>
      <w:r>
        <w:rPr>
          <w:rFonts w:ascii="Times New Roman"/>
          <w:b w:val="false"/>
          <w:i w:val="false"/>
          <w:color w:val="000000"/>
          <w:sz w:val="28"/>
        </w:rPr>
        <w:t>
      11. Гастроэнтерологиялық және гепатологиялық көмек көрсететін ұйымдар халықтың санитариялық-эпидемиологилық саламаттылығы саласындағы қолданыстағы нормативтік құқықтық актілер негізінде эпидемияға қарсы жұмыс режимін сақтаумен медициналық көмек көрсетуді қамтамасыз етеді.</w:t>
      </w:r>
    </w:p>
    <w:bookmarkEnd w:id="39"/>
    <w:bookmarkStart w:name="z42" w:id="40"/>
    <w:p>
      <w:pPr>
        <w:spacing w:after="0"/>
        <w:ind w:left="0"/>
        <w:jc w:val="left"/>
      </w:pPr>
      <w:r>
        <w:rPr>
          <w:rFonts w:ascii="Times New Roman"/>
          <w:b/>
          <w:i w:val="false"/>
          <w:color w:val="000000"/>
        </w:rPr>
        <w:t xml:space="preserve"> 4-тарау. Медициналық көмекті деңгейлері, түрлері, нысандары мен шарттары бөлінісінде көрсету тәртібі және оны көрсету шарттары</w:t>
      </w:r>
    </w:p>
    <w:bookmarkEnd w:id="40"/>
    <w:bookmarkStart w:name="z43" w:id="41"/>
    <w:p>
      <w:pPr>
        <w:spacing w:after="0"/>
        <w:ind w:left="0"/>
        <w:jc w:val="left"/>
      </w:pPr>
      <w:r>
        <w:rPr>
          <w:rFonts w:ascii="Times New Roman"/>
          <w:b/>
          <w:i w:val="false"/>
          <w:color w:val="000000"/>
        </w:rPr>
        <w:t xml:space="preserve"> 1- параграф. Амбулаториялық жағдайда гастроэнтерологиялық және гепатологиялық көмек көрсету тәртібі (бірінші деңгей)</w:t>
      </w:r>
    </w:p>
    <w:bookmarkEnd w:id="41"/>
    <w:bookmarkStart w:name="z44" w:id="42"/>
    <w:p>
      <w:pPr>
        <w:spacing w:after="0"/>
        <w:ind w:left="0"/>
        <w:jc w:val="both"/>
      </w:pPr>
      <w:r>
        <w:rPr>
          <w:rFonts w:ascii="Times New Roman"/>
          <w:b w:val="false"/>
          <w:i w:val="false"/>
          <w:color w:val="000000"/>
          <w:sz w:val="28"/>
        </w:rPr>
        <w:t>
      12. МСАК ұйымдары (оның ішінде гастроэнтеролог дәрігер):</w:t>
      </w:r>
    </w:p>
    <w:bookmarkEnd w:id="42"/>
    <w:bookmarkStart w:name="z45" w:id="43"/>
    <w:p>
      <w:pPr>
        <w:spacing w:after="0"/>
        <w:ind w:left="0"/>
        <w:jc w:val="both"/>
      </w:pPr>
      <w:r>
        <w:rPr>
          <w:rFonts w:ascii="Times New Roman"/>
          <w:b w:val="false"/>
          <w:i w:val="false"/>
          <w:color w:val="000000"/>
          <w:sz w:val="28"/>
        </w:rPr>
        <w:t>
      1) МСАК дәрігерінің жолдамасы бойынша асқорыту ағзаларының ауруларымен ауыратын пациенттерге мамандандырылған медициналық көмек көрсетуді;</w:t>
      </w:r>
    </w:p>
    <w:bookmarkEnd w:id="43"/>
    <w:bookmarkStart w:name="z46" w:id="44"/>
    <w:p>
      <w:pPr>
        <w:spacing w:after="0"/>
        <w:ind w:left="0"/>
        <w:jc w:val="both"/>
      </w:pPr>
      <w:r>
        <w:rPr>
          <w:rFonts w:ascii="Times New Roman"/>
          <w:b w:val="false"/>
          <w:i w:val="false"/>
          <w:color w:val="000000"/>
          <w:sz w:val="28"/>
        </w:rPr>
        <w:t>
      2) пациенттерге зертханалық және аспаптық зерттеулер жүргізуді;</w:t>
      </w:r>
    </w:p>
    <w:bookmarkEnd w:id="44"/>
    <w:bookmarkStart w:name="z47" w:id="45"/>
    <w:p>
      <w:pPr>
        <w:spacing w:after="0"/>
        <w:ind w:left="0"/>
        <w:jc w:val="both"/>
      </w:pPr>
      <w:r>
        <w:rPr>
          <w:rFonts w:ascii="Times New Roman"/>
          <w:b w:val="false"/>
          <w:i w:val="false"/>
          <w:color w:val="000000"/>
          <w:sz w:val="28"/>
        </w:rPr>
        <w:t>
      3) пациенттерді бейінді мамандарға зерттеп-қарауға және консультацияға жіберуді;</w:t>
      </w:r>
    </w:p>
    <w:bookmarkEnd w:id="45"/>
    <w:bookmarkStart w:name="z48" w:id="46"/>
    <w:p>
      <w:pPr>
        <w:spacing w:after="0"/>
        <w:ind w:left="0"/>
        <w:jc w:val="both"/>
      </w:pPr>
      <w:r>
        <w:rPr>
          <w:rFonts w:ascii="Times New Roman"/>
          <w:b w:val="false"/>
          <w:i w:val="false"/>
          <w:color w:val="000000"/>
          <w:sz w:val="28"/>
        </w:rPr>
        <w:t>
      4) асқорыту ағзаларының ауруларымен ауыратын пациенттерді стационарда емдеу, оның ішінде ЖТМК көрсету үшін емдеуге жатқызуға жолдаманы дайындауды;</w:t>
      </w:r>
    </w:p>
    <w:bookmarkEnd w:id="46"/>
    <w:bookmarkStart w:name="z49" w:id="47"/>
    <w:p>
      <w:pPr>
        <w:spacing w:after="0"/>
        <w:ind w:left="0"/>
        <w:jc w:val="both"/>
      </w:pPr>
      <w:r>
        <w:rPr>
          <w:rFonts w:ascii="Times New Roman"/>
          <w:b w:val="false"/>
          <w:i w:val="false"/>
          <w:color w:val="000000"/>
          <w:sz w:val="28"/>
        </w:rPr>
        <w:t>
      5) асқорыту ағзаларының ауруларымен ауыратын пациенттердің профилактикасы, диагностикалау және емдеудің жаңа әдістерін практикаға ендіруге қатысуды;</w:t>
      </w:r>
    </w:p>
    <w:bookmarkEnd w:id="47"/>
    <w:bookmarkStart w:name="z50" w:id="48"/>
    <w:p>
      <w:pPr>
        <w:spacing w:after="0"/>
        <w:ind w:left="0"/>
        <w:jc w:val="both"/>
      </w:pPr>
      <w:r>
        <w:rPr>
          <w:rFonts w:ascii="Times New Roman"/>
          <w:b w:val="false"/>
          <w:i w:val="false"/>
          <w:color w:val="000000"/>
          <w:sz w:val="28"/>
        </w:rPr>
        <w:t>
      6) бекітілген жері бойынша "Ересектер, балалар гастроэнтерологиясы" және "Педиатрия" мамандықтары бойынша дәрігерлермен сабақтастық және өзара іс-қимылды;</w:t>
      </w:r>
    </w:p>
    <w:bookmarkEnd w:id="48"/>
    <w:bookmarkStart w:name="z51" w:id="49"/>
    <w:p>
      <w:pPr>
        <w:spacing w:after="0"/>
        <w:ind w:left="0"/>
        <w:jc w:val="both"/>
      </w:pPr>
      <w:r>
        <w:rPr>
          <w:rFonts w:ascii="Times New Roman"/>
          <w:b w:val="false"/>
          <w:i w:val="false"/>
          <w:color w:val="000000"/>
          <w:sz w:val="28"/>
        </w:rPr>
        <w:t>
      7) бекітілген (қызмет көрсетілетін) халық арасында асқорыту ағзалары аурулары бойынша статистикалық деректерді талдау және есепке алу және есептік құжаттаманы жүргізуді;</w:t>
      </w:r>
    </w:p>
    <w:bookmarkEnd w:id="49"/>
    <w:bookmarkStart w:name="z52" w:id="50"/>
    <w:p>
      <w:pPr>
        <w:spacing w:after="0"/>
        <w:ind w:left="0"/>
        <w:jc w:val="both"/>
      </w:pPr>
      <w:r>
        <w:rPr>
          <w:rFonts w:ascii="Times New Roman"/>
          <w:b w:val="false"/>
          <w:i w:val="false"/>
          <w:color w:val="000000"/>
          <w:sz w:val="28"/>
        </w:rPr>
        <w:t>
      8) халық арасында ақпараттық-ағарту жұмстары іс-шараларын жүргізуге қатысуды;</w:t>
      </w:r>
    </w:p>
    <w:bookmarkEnd w:id="50"/>
    <w:bookmarkStart w:name="z53" w:id="51"/>
    <w:p>
      <w:pPr>
        <w:spacing w:after="0"/>
        <w:ind w:left="0"/>
        <w:jc w:val="both"/>
      </w:pPr>
      <w:r>
        <w:rPr>
          <w:rFonts w:ascii="Times New Roman"/>
          <w:b w:val="false"/>
          <w:i w:val="false"/>
          <w:color w:val="000000"/>
          <w:sz w:val="28"/>
        </w:rPr>
        <w:t>
      9) күрделі диагностикалық жағдайларда пациентті үшінші (республикалық) деңгейдегі ұйымға консультацияға жіберуді;</w:t>
      </w:r>
    </w:p>
    <w:bookmarkEnd w:id="51"/>
    <w:bookmarkStart w:name="z54" w:id="52"/>
    <w:p>
      <w:pPr>
        <w:spacing w:after="0"/>
        <w:ind w:left="0"/>
        <w:jc w:val="both"/>
      </w:pPr>
      <w:r>
        <w:rPr>
          <w:rFonts w:ascii="Times New Roman"/>
          <w:b w:val="false"/>
          <w:i w:val="false"/>
          <w:color w:val="000000"/>
          <w:sz w:val="28"/>
        </w:rPr>
        <w:t>
      10) дәрілік заттармен қамтамасыз етеді.</w:t>
      </w:r>
    </w:p>
    <w:bookmarkEnd w:id="52"/>
    <w:bookmarkStart w:name="z55" w:id="53"/>
    <w:p>
      <w:pPr>
        <w:spacing w:after="0"/>
        <w:ind w:left="0"/>
        <w:jc w:val="both"/>
      </w:pPr>
      <w:r>
        <w:rPr>
          <w:rFonts w:ascii="Times New Roman"/>
          <w:b w:val="false"/>
          <w:i w:val="false"/>
          <w:color w:val="000000"/>
          <w:sz w:val="28"/>
        </w:rPr>
        <w:t>
      13. Гастроэнтеролог кабинеті дәрігерінің клиникалық-диагностикалық қызмет көрсету уақытының нормативі (пациентті қабылдау) денсаулық сақтау ұйымдарының үлгілік штаты мен штаттық кестесіне сәйкес белгіленеді.</w:t>
      </w:r>
    </w:p>
    <w:bookmarkEnd w:id="53"/>
    <w:bookmarkStart w:name="z56" w:id="54"/>
    <w:p>
      <w:pPr>
        <w:spacing w:after="0"/>
        <w:ind w:left="0"/>
        <w:jc w:val="left"/>
      </w:pPr>
      <w:r>
        <w:rPr>
          <w:rFonts w:ascii="Times New Roman"/>
          <w:b/>
          <w:i w:val="false"/>
          <w:color w:val="000000"/>
        </w:rPr>
        <w:t xml:space="preserve"> 2-параграф. Стационарлық және стационарды алмастыратын жағдайларда медициналық көмек көрсету тәртібі (екінші деңгей)</w:t>
      </w:r>
    </w:p>
    <w:bookmarkEnd w:id="54"/>
    <w:bookmarkStart w:name="z57" w:id="55"/>
    <w:p>
      <w:pPr>
        <w:spacing w:after="0"/>
        <w:ind w:left="0"/>
        <w:jc w:val="both"/>
      </w:pPr>
      <w:r>
        <w:rPr>
          <w:rFonts w:ascii="Times New Roman"/>
          <w:b w:val="false"/>
          <w:i w:val="false"/>
          <w:color w:val="000000"/>
          <w:sz w:val="28"/>
        </w:rPr>
        <w:t>
      14. Гастроэнтерология бөлімшесі:</w:t>
      </w:r>
    </w:p>
    <w:bookmarkEnd w:id="55"/>
    <w:p>
      <w:pPr>
        <w:spacing w:after="0"/>
        <w:ind w:left="0"/>
        <w:jc w:val="both"/>
      </w:pPr>
      <w:r>
        <w:rPr>
          <w:rFonts w:ascii="Times New Roman"/>
          <w:b w:val="false"/>
          <w:i w:val="false"/>
          <w:color w:val="000000"/>
          <w:sz w:val="28"/>
        </w:rPr>
        <w:t>
      1) стационарлық жағдайда КХ-ға сәйкес көрсетілімдер бойынша асқорыту ағзаларының ауруларымен ауыратын пациенттерді емдеуге жатқызуды және медициналық көмек көрсетуді;</w:t>
      </w:r>
    </w:p>
    <w:p>
      <w:pPr>
        <w:spacing w:after="0"/>
        <w:ind w:left="0"/>
        <w:jc w:val="both"/>
      </w:pPr>
      <w:r>
        <w:rPr>
          <w:rFonts w:ascii="Times New Roman"/>
          <w:b w:val="false"/>
          <w:i w:val="false"/>
          <w:color w:val="000000"/>
          <w:sz w:val="28"/>
        </w:rPr>
        <w:t>
      2) стационардың басқа бөлімшелерінің дәрігерлері мен пациенттеріне консультациялық көмек көрсетуді;</w:t>
      </w:r>
    </w:p>
    <w:p>
      <w:pPr>
        <w:spacing w:after="0"/>
        <w:ind w:left="0"/>
        <w:jc w:val="both"/>
      </w:pPr>
      <w:r>
        <w:rPr>
          <w:rFonts w:ascii="Times New Roman"/>
          <w:b w:val="false"/>
          <w:i w:val="false"/>
          <w:color w:val="000000"/>
          <w:sz w:val="28"/>
        </w:rPr>
        <w:t>
      3) медициналық көмектің сапасын арттыру және асқорыту ағзалары ауруларынан болатын ауруханалық өлімді төмендету жөніндегі іс-шараларды әзірлеу және өткізуді;</w:t>
      </w:r>
    </w:p>
    <w:p>
      <w:pPr>
        <w:spacing w:after="0"/>
        <w:ind w:left="0"/>
        <w:jc w:val="both"/>
      </w:pPr>
      <w:r>
        <w:rPr>
          <w:rFonts w:ascii="Times New Roman"/>
          <w:b w:val="false"/>
          <w:i w:val="false"/>
          <w:color w:val="000000"/>
          <w:sz w:val="28"/>
        </w:rPr>
        <w:t>
      4) асқорыту ағзаларының ауруларымен ауыратын пациенттерге профилактика және медициналық көмек көрсету мәселелері бойынша дәрігерлік және орта медицина персоналының біліктілігін арттыруға қатысуды;</w:t>
      </w:r>
    </w:p>
    <w:p>
      <w:pPr>
        <w:spacing w:after="0"/>
        <w:ind w:left="0"/>
        <w:jc w:val="both"/>
      </w:pPr>
      <w:r>
        <w:rPr>
          <w:rFonts w:ascii="Times New Roman"/>
          <w:b w:val="false"/>
          <w:i w:val="false"/>
          <w:color w:val="000000"/>
          <w:sz w:val="28"/>
        </w:rPr>
        <w:t>
      5) клиникалық практикаға асқорыту ағзаларының ауруларымен ауыратын пациенттерге профилактика, диагностика, емдеу және медициналық оңалтудың жаңа әдістерін ендіруді;</w:t>
      </w:r>
    </w:p>
    <w:p>
      <w:pPr>
        <w:spacing w:after="0"/>
        <w:ind w:left="0"/>
        <w:jc w:val="both"/>
      </w:pPr>
      <w:r>
        <w:rPr>
          <w:rFonts w:ascii="Times New Roman"/>
          <w:b w:val="false"/>
          <w:i w:val="false"/>
          <w:color w:val="000000"/>
          <w:sz w:val="28"/>
        </w:rPr>
        <w:t>
      6) пациенттермен ақпараттық-түсіндіру жұмыстарын жүргізуді;</w:t>
      </w:r>
    </w:p>
    <w:p>
      <w:pPr>
        <w:spacing w:after="0"/>
        <w:ind w:left="0"/>
        <w:jc w:val="both"/>
      </w:pPr>
      <w:r>
        <w:rPr>
          <w:rFonts w:ascii="Times New Roman"/>
          <w:b w:val="false"/>
          <w:i w:val="false"/>
          <w:color w:val="000000"/>
          <w:sz w:val="28"/>
        </w:rPr>
        <w:t>
      7) емдеуге жатқызылған пациенттер бойынша ақпаратқа жүйелі талдау, есепке алу және есептік құжаттамасын жүргізуді жүзеге асырады.</w:t>
      </w:r>
    </w:p>
    <w:bookmarkStart w:name="z58" w:id="56"/>
    <w:p>
      <w:pPr>
        <w:spacing w:after="0"/>
        <w:ind w:left="0"/>
        <w:jc w:val="left"/>
      </w:pPr>
      <w:r>
        <w:rPr>
          <w:rFonts w:ascii="Times New Roman"/>
          <w:b/>
          <w:i w:val="false"/>
          <w:color w:val="000000"/>
        </w:rPr>
        <w:t xml:space="preserve"> 3-параграф. Республикалық медициналық ұйымдарда медициналық көмек көрсету тәртібі (үшінші деңгей)</w:t>
      </w:r>
    </w:p>
    <w:bookmarkEnd w:id="56"/>
    <w:bookmarkStart w:name="z59" w:id="57"/>
    <w:p>
      <w:pPr>
        <w:spacing w:after="0"/>
        <w:ind w:left="0"/>
        <w:jc w:val="both"/>
      </w:pPr>
      <w:r>
        <w:rPr>
          <w:rFonts w:ascii="Times New Roman"/>
          <w:b w:val="false"/>
          <w:i w:val="false"/>
          <w:color w:val="000000"/>
          <w:sz w:val="28"/>
        </w:rPr>
        <w:t>
      15. Республикалық медициналық ұйымдарда медициналық көмек көрсету ЖТМК жаңа және бірегей әдістерін қолдануды қамтиды.</w:t>
      </w:r>
    </w:p>
    <w:bookmarkEnd w:id="57"/>
    <w:bookmarkStart w:name="z60" w:id="58"/>
    <w:p>
      <w:pPr>
        <w:spacing w:after="0"/>
        <w:ind w:left="0"/>
        <w:jc w:val="left"/>
      </w:pPr>
      <w:r>
        <w:rPr>
          <w:rFonts w:ascii="Times New Roman"/>
          <w:b/>
          <w:i w:val="false"/>
          <w:color w:val="000000"/>
        </w:rPr>
        <w:t xml:space="preserve"> 4-параграф. Созылмалы вирустық гепатиттері аурулары бар пациенттерге медициналық көмек көрсету тәртібі</w:t>
      </w:r>
    </w:p>
    <w:bookmarkEnd w:id="58"/>
    <w:bookmarkStart w:name="z61" w:id="59"/>
    <w:p>
      <w:pPr>
        <w:spacing w:after="0"/>
        <w:ind w:left="0"/>
        <w:jc w:val="both"/>
      </w:pPr>
      <w:r>
        <w:rPr>
          <w:rFonts w:ascii="Times New Roman"/>
          <w:b w:val="false"/>
          <w:i w:val="false"/>
          <w:color w:val="000000"/>
          <w:sz w:val="28"/>
        </w:rPr>
        <w:t>
      16. Созылмалы вирустық гепатитке (бұдан әрі – СВГ) қанның иммундық-ферменттік талдауы (бұдан әрі – ИФТ) оң болған жағдайда 10 (он) жұмыс күнге дейінгі мерзімде МСАК медициналық ұйымдарында полимеразды-тізбектік реакция (бұдан әрі – ПТР) (сапалық) тағайындаумен зерттеп-қарау жүргізіледі.</w:t>
      </w:r>
    </w:p>
    <w:bookmarkEnd w:id="59"/>
    <w:bookmarkStart w:name="z62" w:id="60"/>
    <w:p>
      <w:pPr>
        <w:spacing w:after="0"/>
        <w:ind w:left="0"/>
        <w:jc w:val="both"/>
      </w:pPr>
      <w:r>
        <w:rPr>
          <w:rFonts w:ascii="Times New Roman"/>
          <w:b w:val="false"/>
          <w:i w:val="false"/>
          <w:color w:val="000000"/>
          <w:sz w:val="28"/>
        </w:rPr>
        <w:t>
      17. ПТР (сапалық) нәтижесі оң болған жағдайда МСАК дәрігері ТМККК шеңберінде 20 (жиырма) жұмыс күніне дейінгі мерзімде ПТР (сандық, генотиптік), фибросканирлеуге немесе ішпердені ультрадыбыстық зерттеуге және гастроэнтеролог дәрігерге немесе инфекционист дәрігерге консультацияға жібереді.</w:t>
      </w:r>
    </w:p>
    <w:bookmarkEnd w:id="60"/>
    <w:bookmarkStart w:name="z63" w:id="61"/>
    <w:p>
      <w:pPr>
        <w:spacing w:after="0"/>
        <w:ind w:left="0"/>
        <w:jc w:val="both"/>
      </w:pPr>
      <w:r>
        <w:rPr>
          <w:rFonts w:ascii="Times New Roman"/>
          <w:b w:val="false"/>
          <w:i w:val="false"/>
          <w:color w:val="000000"/>
          <w:sz w:val="28"/>
        </w:rPr>
        <w:t>
      18. СВГ диагнозы расталған кезде МСАК дәрігері пациенттің деректерін медициналық ақпараттық жүйелерге ("Диспансерлік науқастардың электрондық тіркелімі" АЖ (бұдан әрі - ДНЭТ АЖ) енгізеді.</w:t>
      </w:r>
    </w:p>
    <w:bookmarkEnd w:id="61"/>
    <w:bookmarkStart w:name="z64" w:id="62"/>
    <w:p>
      <w:pPr>
        <w:spacing w:after="0"/>
        <w:ind w:left="0"/>
        <w:jc w:val="both"/>
      </w:pPr>
      <w:r>
        <w:rPr>
          <w:rFonts w:ascii="Times New Roman"/>
          <w:b w:val="false"/>
          <w:i w:val="false"/>
          <w:color w:val="000000"/>
          <w:sz w:val="28"/>
        </w:rPr>
        <w:t>
      19. СВГ ауруы бар пациенттерге вирусқа қарсы терапияны (бұдан әрі – ВҚТ) жүргізу тәртібі:</w:t>
      </w:r>
    </w:p>
    <w:bookmarkEnd w:id="62"/>
    <w:bookmarkStart w:name="z65" w:id="63"/>
    <w:p>
      <w:pPr>
        <w:spacing w:after="0"/>
        <w:ind w:left="0"/>
        <w:jc w:val="both"/>
      </w:pPr>
      <w:r>
        <w:rPr>
          <w:rFonts w:ascii="Times New Roman"/>
          <w:b w:val="false"/>
          <w:i w:val="false"/>
          <w:color w:val="000000"/>
          <w:sz w:val="28"/>
        </w:rPr>
        <w:t>
      1) "С" СВГ кезінде фиброздың F0 - FII сатысында ВҚТ МСАК ұйымында бейінді маманның (гастроэнтеролог немесе инфекционист) консультациялық қорытындысының негізінде МСАК дәрігерімен жүргізеді;</w:t>
      </w:r>
    </w:p>
    <w:bookmarkEnd w:id="63"/>
    <w:bookmarkStart w:name="z66" w:id="64"/>
    <w:p>
      <w:pPr>
        <w:spacing w:after="0"/>
        <w:ind w:left="0"/>
        <w:jc w:val="both"/>
      </w:pPr>
      <w:r>
        <w:rPr>
          <w:rFonts w:ascii="Times New Roman"/>
          <w:b w:val="false"/>
          <w:i w:val="false"/>
          <w:color w:val="000000"/>
          <w:sz w:val="28"/>
        </w:rPr>
        <w:t>
      2) "С" СВГ кезінде фиброздың FIII - FIV сатысында және ауыр қосарласқан аурулары кезінде ВҚТ режимін таңдау және дәрілер үйлесімділігін айқындау үшін ГО бейінді маманның (гастроэнтеролог немесе инфекционист) консультациясы қажет;</w:t>
      </w:r>
    </w:p>
    <w:bookmarkEnd w:id="64"/>
    <w:bookmarkStart w:name="z67" w:id="65"/>
    <w:p>
      <w:pPr>
        <w:spacing w:after="0"/>
        <w:ind w:left="0"/>
        <w:jc w:val="both"/>
      </w:pPr>
      <w:r>
        <w:rPr>
          <w:rFonts w:ascii="Times New Roman"/>
          <w:b w:val="false"/>
          <w:i w:val="false"/>
          <w:color w:val="000000"/>
          <w:sz w:val="28"/>
        </w:rPr>
        <w:t>
      3) "В" СВГ кезінде ВҚТ МСАК ұйымдарында (МСАК дәрігерімен) ГО-тың бейінді маманының (гастроэнтеролог немесе инфекционист) консультациялық қорытындысына сәйкес жүргізіледі;</w:t>
      </w:r>
    </w:p>
    <w:bookmarkEnd w:id="65"/>
    <w:bookmarkStart w:name="z68" w:id="66"/>
    <w:p>
      <w:pPr>
        <w:spacing w:after="0"/>
        <w:ind w:left="0"/>
        <w:jc w:val="both"/>
      </w:pPr>
      <w:r>
        <w:rPr>
          <w:rFonts w:ascii="Times New Roman"/>
          <w:b w:val="false"/>
          <w:i w:val="false"/>
          <w:color w:val="000000"/>
          <w:sz w:val="28"/>
        </w:rPr>
        <w:t>
      4) "В" СВГ кезінде динамикалық байқау бейінді ГО-да КХ сәйкес тұрақты негізде жүргізіледі.</w:t>
      </w:r>
    </w:p>
    <w:bookmarkEnd w:id="66"/>
    <w:bookmarkStart w:name="z69" w:id="67"/>
    <w:p>
      <w:pPr>
        <w:spacing w:after="0"/>
        <w:ind w:left="0"/>
        <w:jc w:val="both"/>
      </w:pPr>
      <w:r>
        <w:rPr>
          <w:rFonts w:ascii="Times New Roman"/>
          <w:b w:val="false"/>
          <w:i w:val="false"/>
          <w:color w:val="000000"/>
          <w:sz w:val="28"/>
        </w:rPr>
        <w:t>
      20. Дәрілік заттар мен медициналық бұйымдарды алуға рецептерді жазып беруді МСАК дәрігері, ГО маманы жүзеге асырады.</w:t>
      </w:r>
    </w:p>
    <w:bookmarkEnd w:id="67"/>
    <w:bookmarkStart w:name="z70" w:id="68"/>
    <w:p>
      <w:pPr>
        <w:spacing w:after="0"/>
        <w:ind w:left="0"/>
        <w:jc w:val="both"/>
      </w:pPr>
      <w:r>
        <w:rPr>
          <w:rFonts w:ascii="Times New Roman"/>
          <w:b w:val="false"/>
          <w:i w:val="false"/>
          <w:color w:val="000000"/>
          <w:sz w:val="28"/>
        </w:rPr>
        <w:t>
      21. СВГ емдеу үшін емдеу үшін дәрілік препараттарды босату Денсаулық сақтау басқармасы айқындайтын денсаулық сақтау ұйымы жүзеге асырады.</w:t>
      </w:r>
    </w:p>
    <w:bookmarkEnd w:id="68"/>
    <w:bookmarkStart w:name="z71" w:id="69"/>
    <w:p>
      <w:pPr>
        <w:spacing w:after="0"/>
        <w:ind w:left="0"/>
        <w:jc w:val="both"/>
      </w:pPr>
      <w:r>
        <w:rPr>
          <w:rFonts w:ascii="Times New Roman"/>
          <w:b w:val="false"/>
          <w:i w:val="false"/>
          <w:color w:val="000000"/>
          <w:sz w:val="28"/>
        </w:rPr>
        <w:t>
      22. СВГ ВҚТ сәтті аяқталғаннан кейін 6 (алты) ай өткен соң, тұрақты вирусологиялық нәтижеге (бұдан әрі - ТВН) қол жеткізген кезде, ГО бейінді маманының консультатциялық қорытындысын алғаннан кейін пациент есептен шығарылады.</w:t>
      </w:r>
    </w:p>
    <w:bookmarkEnd w:id="69"/>
    <w:p>
      <w:pPr>
        <w:spacing w:after="0"/>
        <w:ind w:left="0"/>
        <w:jc w:val="both"/>
      </w:pPr>
      <w:r>
        <w:rPr>
          <w:rFonts w:ascii="Times New Roman"/>
          <w:b w:val="false"/>
          <w:i w:val="false"/>
          <w:color w:val="000000"/>
          <w:sz w:val="28"/>
        </w:rPr>
        <w:t xml:space="preserve">
      МСАК дәрігері есептен шығару туралы ақпаратты ДНЭТ АЖ енгізеді. </w:t>
      </w:r>
    </w:p>
    <w:bookmarkStart w:name="z72" w:id="70"/>
    <w:p>
      <w:pPr>
        <w:spacing w:after="0"/>
        <w:ind w:left="0"/>
        <w:jc w:val="both"/>
      </w:pPr>
      <w:r>
        <w:rPr>
          <w:rFonts w:ascii="Times New Roman"/>
          <w:b w:val="false"/>
          <w:i w:val="false"/>
          <w:color w:val="000000"/>
          <w:sz w:val="28"/>
        </w:rPr>
        <w:t>
      23. "С" СВГ кезінде ВҚТ тиімсіз болған жағдайда динамикалық байқау КХ сәйкес өңірлік ГО-да жалғасады.</w:t>
      </w:r>
    </w:p>
    <w:bookmarkEnd w:id="70"/>
    <w:bookmarkStart w:name="z73" w:id="71"/>
    <w:p>
      <w:pPr>
        <w:spacing w:after="0"/>
        <w:ind w:left="0"/>
        <w:jc w:val="both"/>
      </w:pPr>
      <w:r>
        <w:rPr>
          <w:rFonts w:ascii="Times New Roman"/>
          <w:b w:val="false"/>
          <w:i w:val="false"/>
          <w:color w:val="000000"/>
          <w:sz w:val="28"/>
        </w:rPr>
        <w:t>
      24. FIII- F IV өршитін фиброзы бар (соның ішінде бауыр циррозы) ТВН ауыратын пациенттер ВҚТ кейін КХ сәйкес динамикалық байқауды ГО-да жалғастырады.</w:t>
      </w:r>
    </w:p>
    <w:bookmarkEnd w:id="71"/>
    <w:bookmarkStart w:name="z74" w:id="72"/>
    <w:p>
      <w:pPr>
        <w:spacing w:after="0"/>
        <w:ind w:left="0"/>
        <w:jc w:val="both"/>
      </w:pPr>
      <w:r>
        <w:rPr>
          <w:rFonts w:ascii="Times New Roman"/>
          <w:b w:val="false"/>
          <w:i w:val="false"/>
          <w:color w:val="000000"/>
          <w:sz w:val="28"/>
        </w:rPr>
        <w:t>
      25. Өңірлік ГО СВГ аурумен ауыратын пациенттерді ВҚТ тиімділігіне мониторинг және бағалауды тұрақты негізде жүргізеді.</w:t>
      </w:r>
    </w:p>
    <w:bookmarkEnd w:id="72"/>
    <w:bookmarkStart w:name="z75" w:id="73"/>
    <w:p>
      <w:pPr>
        <w:spacing w:after="0"/>
        <w:ind w:left="0"/>
        <w:jc w:val="both"/>
      </w:pPr>
      <w:r>
        <w:rPr>
          <w:rFonts w:ascii="Times New Roman"/>
          <w:b w:val="false"/>
          <w:i w:val="false"/>
          <w:color w:val="000000"/>
          <w:sz w:val="28"/>
        </w:rPr>
        <w:t>
      26. Адамның иммун тапшылығы вирусы бар пациенттерде (бұдан әрі – АИТВ инфекциясымен өмір сүретін адамдар) СВГ зерттеп-қарауды, "АИТВ инфекциясы жағдайларын электрондық қадағалау" АЖ тіркеумен деректерді дербестендірмей тіркелген жағдайлардың санын тоқсан сайын есептік кезеңнің келесі айының 10-күніне дейін өңірлік ГО-қа берумен АИТВ инфекциясының профилактикасы саласындағы қызметті жүзеге асыратын мемлекеттік денсаулық сақтау ұйымдары (бұдан әрі – АИТВ инфекциясы орталығы) жүргізеді.</w:t>
      </w:r>
    </w:p>
    <w:bookmarkEnd w:id="73"/>
    <w:bookmarkStart w:name="z76" w:id="74"/>
    <w:p>
      <w:pPr>
        <w:spacing w:after="0"/>
        <w:ind w:left="0"/>
        <w:jc w:val="both"/>
      </w:pPr>
      <w:r>
        <w:rPr>
          <w:rFonts w:ascii="Times New Roman"/>
          <w:b w:val="false"/>
          <w:i w:val="false"/>
          <w:color w:val="000000"/>
          <w:sz w:val="28"/>
        </w:rPr>
        <w:t>
      27. ВҚТ және АИТВ инфекциясы өмір сүретін адамдарға және СВГ ауыратын адамдарға дәрілік заттарды алуға рецептті жазып беруді АИТВ инфекциясы орталықтарының инфекционист дәрігерлері ("бір терезе" шеңберінде) және бекітілген жері бойынша тұрақты МСАК ұйымдары дәрігер жүзеге асырады.</w:t>
      </w:r>
    </w:p>
    <w:bookmarkEnd w:id="74"/>
    <w:bookmarkStart w:name="z77" w:id="75"/>
    <w:p>
      <w:pPr>
        <w:spacing w:after="0"/>
        <w:ind w:left="0"/>
        <w:jc w:val="both"/>
      </w:pPr>
      <w:r>
        <w:rPr>
          <w:rFonts w:ascii="Times New Roman"/>
          <w:b w:val="false"/>
          <w:i w:val="false"/>
          <w:color w:val="000000"/>
          <w:sz w:val="28"/>
        </w:rPr>
        <w:t>
      28. АИТВ инфекциясы орталықтары АИТВ инфекциясымен өмір сүретін адамдарға СВГ емдеуге арналған вирусқа қарсы препараттардың қажеттілігін Кодекстің 1-бабы 1-тармағының 14) тармақшасына сәйкес қалыптастырады.</w:t>
      </w:r>
    </w:p>
    <w:bookmarkEnd w:id="75"/>
    <w:bookmarkStart w:name="z78" w:id="76"/>
    <w:p>
      <w:pPr>
        <w:spacing w:after="0"/>
        <w:ind w:left="0"/>
        <w:jc w:val="both"/>
      </w:pPr>
      <w:r>
        <w:rPr>
          <w:rFonts w:ascii="Times New Roman"/>
          <w:b w:val="false"/>
          <w:i w:val="false"/>
          <w:color w:val="000000"/>
          <w:sz w:val="28"/>
        </w:rPr>
        <w:t>
      29. "С" СВГ ВҚТ сәтті аяқталғаннан кейін 6 (алты) айдан соң ТВН қол жеткізгеннен кейін Info Tracker АИТВ инфекциясы жағдайларына кезде пациентті диспансерлік есептен алу туралы ақпаратты АИТВ инфекциясы орталығының дәрігері "электрондық қадағалау жүйесі" АЖ Info Tracker АИТВ инфекциясы есептік кезеңнің келесі айының 10-күніне дейін тоқсан сайын өңірлік ГО-қа берумен электронды қадағалау жүйесі АЖ-ға енгізіледі.</w:t>
      </w:r>
    </w:p>
    <w:bookmarkEnd w:id="76"/>
    <w:bookmarkStart w:name="z79" w:id="77"/>
    <w:p>
      <w:pPr>
        <w:spacing w:after="0"/>
        <w:ind w:left="0"/>
        <w:jc w:val="left"/>
      </w:pPr>
      <w:r>
        <w:rPr>
          <w:rFonts w:ascii="Times New Roman"/>
          <w:b/>
          <w:i w:val="false"/>
          <w:color w:val="000000"/>
        </w:rPr>
        <w:t xml:space="preserve"> 5-параграф. Бауыр циррозымен ауыратын пациенттерге гастроэнтерологиялық және гепатологиялық  көмек көрсету тәртібі</w:t>
      </w:r>
    </w:p>
    <w:bookmarkEnd w:id="77"/>
    <w:bookmarkStart w:name="z80" w:id="78"/>
    <w:p>
      <w:pPr>
        <w:spacing w:after="0"/>
        <w:ind w:left="0"/>
        <w:jc w:val="both"/>
      </w:pPr>
      <w:r>
        <w:rPr>
          <w:rFonts w:ascii="Times New Roman"/>
          <w:b w:val="false"/>
          <w:i w:val="false"/>
          <w:color w:val="000000"/>
          <w:sz w:val="28"/>
        </w:rPr>
        <w:t>
      30. Бауыр циррозымен ауыратын (бұдан әрі – БЦ) пациенттерге медициналық көмек МСАК денсаулық сақтау ұйымдарында көрсету, ГО-да, көп бейінді стационарларда, ведомстволық және республикалық денсаулық сақтау ұйымдарда және трансплантаттау орталықтарында жүзеге асырылады.</w:t>
      </w:r>
    </w:p>
    <w:bookmarkEnd w:id="78"/>
    <w:bookmarkStart w:name="z81" w:id="79"/>
    <w:p>
      <w:pPr>
        <w:spacing w:after="0"/>
        <w:ind w:left="0"/>
        <w:jc w:val="both"/>
      </w:pPr>
      <w:r>
        <w:rPr>
          <w:rFonts w:ascii="Times New Roman"/>
          <w:b w:val="false"/>
          <w:i w:val="false"/>
          <w:color w:val="000000"/>
          <w:sz w:val="28"/>
        </w:rPr>
        <w:t>
      31. БЦ бар және оларға күдік бар пациенттерді бірінші зерттеп-қарау бекітілген жері бойынша МСАК дәгігерінің, ол жоқ болған жағдайда МСАК дәрігерінің жолдамасы бойынша ересек, балалар гастроэнтерологиясы, гастроэнтерология (негізгі мамандық бейіні бойынша ультрадыбыстық диагностика) (ересектер), гастроэнтерология (негізгі мамандық бейіні бойынша ультрадыбыстық диагностика) (балалар), гастроэнтерология (негізгі мамандық бейіні бойынша эндоскопия) (ересектер), гастроэнтерология (негізгі мамандық бейіні бойынша эндоскопия) (балалар), инфекциялық аурулар (ересектер), инфекциялық аурулар (балалар) мамандығы бойынша дәрігер бойынша жүргізеді.</w:t>
      </w:r>
    </w:p>
    <w:bookmarkEnd w:id="79"/>
    <w:bookmarkStart w:name="z82" w:id="80"/>
    <w:p>
      <w:pPr>
        <w:spacing w:after="0"/>
        <w:ind w:left="0"/>
        <w:jc w:val="both"/>
      </w:pPr>
      <w:r>
        <w:rPr>
          <w:rFonts w:ascii="Times New Roman"/>
          <w:b w:val="false"/>
          <w:i w:val="false"/>
          <w:color w:val="000000"/>
          <w:sz w:val="28"/>
        </w:rPr>
        <w:t>
      32. БЦ ауруымен ауыратын пациенттерге:</w:t>
      </w:r>
    </w:p>
    <w:bookmarkEnd w:id="80"/>
    <w:p>
      <w:pPr>
        <w:spacing w:after="0"/>
        <w:ind w:left="0"/>
        <w:jc w:val="both"/>
      </w:pPr>
      <w:r>
        <w:rPr>
          <w:rFonts w:ascii="Times New Roman"/>
          <w:b w:val="false"/>
          <w:i w:val="false"/>
          <w:color w:val="000000"/>
          <w:sz w:val="28"/>
        </w:rPr>
        <w:t>
      1) Бірінші зерттеп-қарауды;</w:t>
      </w:r>
    </w:p>
    <w:p>
      <w:pPr>
        <w:spacing w:after="0"/>
        <w:ind w:left="0"/>
        <w:jc w:val="both"/>
      </w:pPr>
      <w:r>
        <w:rPr>
          <w:rFonts w:ascii="Times New Roman"/>
          <w:b w:val="false"/>
          <w:i w:val="false"/>
          <w:color w:val="000000"/>
          <w:sz w:val="28"/>
        </w:rPr>
        <w:t>
      2) Бауыр ауруларының терминалды сатысы үшін Чайлд-Пью (А, В, С) және MELD, MELD-Na шкаласы бойынша БЦ диагнозы мен ауырлық түрін верификациялауды;</w:t>
      </w:r>
    </w:p>
    <w:p>
      <w:pPr>
        <w:spacing w:after="0"/>
        <w:ind w:left="0"/>
        <w:jc w:val="both"/>
      </w:pPr>
      <w:r>
        <w:rPr>
          <w:rFonts w:ascii="Times New Roman"/>
          <w:b w:val="false"/>
          <w:i w:val="false"/>
          <w:color w:val="000000"/>
          <w:sz w:val="28"/>
        </w:rPr>
        <w:t>
      3) БЦ асқынуын диагностикалау және емдеуді;</w:t>
      </w:r>
    </w:p>
    <w:p>
      <w:pPr>
        <w:spacing w:after="0"/>
        <w:ind w:left="0"/>
        <w:jc w:val="both"/>
      </w:pPr>
      <w:r>
        <w:rPr>
          <w:rFonts w:ascii="Times New Roman"/>
          <w:b w:val="false"/>
          <w:i w:val="false"/>
          <w:color w:val="000000"/>
          <w:sz w:val="28"/>
        </w:rPr>
        <w:t>
      4) БЦ этиологиялық факторына сәйкес терапия режимін таңдауды;</w:t>
      </w:r>
    </w:p>
    <w:p>
      <w:pPr>
        <w:spacing w:after="0"/>
        <w:ind w:left="0"/>
        <w:jc w:val="both"/>
      </w:pPr>
      <w:r>
        <w:rPr>
          <w:rFonts w:ascii="Times New Roman"/>
          <w:b w:val="false"/>
          <w:i w:val="false"/>
          <w:color w:val="000000"/>
          <w:sz w:val="28"/>
        </w:rPr>
        <w:t>
      5) №ҚР ДСМ-75 бұйрыққа сәйкес патогенетикалық (паллиативтік) терапияны;</w:t>
      </w:r>
    </w:p>
    <w:p>
      <w:pPr>
        <w:spacing w:after="0"/>
        <w:ind w:left="0"/>
        <w:jc w:val="both"/>
      </w:pPr>
      <w:r>
        <w:rPr>
          <w:rFonts w:ascii="Times New Roman"/>
          <w:b w:val="false"/>
          <w:i w:val="false"/>
          <w:color w:val="000000"/>
          <w:sz w:val="28"/>
        </w:rPr>
        <w:t>
      6) терапия жүргізуді және мониторингті;</w:t>
      </w:r>
    </w:p>
    <w:p>
      <w:pPr>
        <w:spacing w:after="0"/>
        <w:ind w:left="0"/>
        <w:jc w:val="both"/>
      </w:pPr>
      <w:r>
        <w:rPr>
          <w:rFonts w:ascii="Times New Roman"/>
          <w:b w:val="false"/>
          <w:i w:val="false"/>
          <w:color w:val="000000"/>
          <w:sz w:val="28"/>
        </w:rPr>
        <w:t>
      7) бауыр трансплантациясына (бұдан әрі - БТ) көрсетілімдерді айқындауды;</w:t>
      </w:r>
    </w:p>
    <w:p>
      <w:pPr>
        <w:spacing w:after="0"/>
        <w:ind w:left="0"/>
        <w:jc w:val="both"/>
      </w:pPr>
      <w:r>
        <w:rPr>
          <w:rFonts w:ascii="Times New Roman"/>
          <w:b w:val="false"/>
          <w:i w:val="false"/>
          <w:color w:val="000000"/>
          <w:sz w:val="28"/>
        </w:rPr>
        <w:t>
      8) пациентке тиісті консультациялық қорытынды берумен трансплантолог дәрігердің консультациясын;</w:t>
      </w:r>
    </w:p>
    <w:p>
      <w:pPr>
        <w:spacing w:after="0"/>
        <w:ind w:left="0"/>
        <w:jc w:val="both"/>
      </w:pPr>
      <w:r>
        <w:rPr>
          <w:rFonts w:ascii="Times New Roman"/>
          <w:b w:val="false"/>
          <w:i w:val="false"/>
          <w:color w:val="000000"/>
          <w:sz w:val="28"/>
        </w:rPr>
        <w:t>
      9) профилактикалық шаралар мен консультацияларды қамтиды.</w:t>
      </w:r>
    </w:p>
    <w:bookmarkStart w:name="z83" w:id="81"/>
    <w:p>
      <w:pPr>
        <w:spacing w:after="0"/>
        <w:ind w:left="0"/>
        <w:jc w:val="both"/>
      </w:pPr>
      <w:r>
        <w:rPr>
          <w:rFonts w:ascii="Times New Roman"/>
          <w:b w:val="false"/>
          <w:i w:val="false"/>
          <w:color w:val="000000"/>
          <w:sz w:val="28"/>
        </w:rPr>
        <w:t>
      33. БЦ диагнозы белгіленген кезде МСАК дәрігері өңірлік ГО-ға берілетін тиісті ақпаратты ДНЭТ АЖ енгізеді ( жыл сайын өз өңіріндегі БЦ-мен ауыратын пациенттердің саны бойынша есеп жыл сайын есептік кезеңнен кейінгі жылдың 15 қаңтарына қалыптастырады).</w:t>
      </w:r>
    </w:p>
    <w:bookmarkEnd w:id="81"/>
    <w:bookmarkStart w:name="z84" w:id="82"/>
    <w:p>
      <w:pPr>
        <w:spacing w:after="0"/>
        <w:ind w:left="0"/>
        <w:jc w:val="both"/>
      </w:pPr>
      <w:r>
        <w:rPr>
          <w:rFonts w:ascii="Times New Roman"/>
          <w:b w:val="false"/>
          <w:i w:val="false"/>
          <w:color w:val="000000"/>
          <w:sz w:val="28"/>
        </w:rPr>
        <w:t>
      34. БТ іріктеу MELD (MELD-Na) шкаласына, MELD шкаласынан тыс мына өлшемшарттарға сәйкес жүзеге асырылады: өңеш пен асқазанның варикозды тамырларының кенеюінен қайталанатын қан кетулер, Милан өлшемшарттары шеңберінде гепатоцеллюлярлық карцинома, рефрактерлі асцит, гепатопульмональды синдром, портопульмональды гипертензия, өршіген бауыр энцефалопатиясы, фульминантты бауыр функциясының жеткіліксіздігі, бақылауға көнбейтін тері қышуы.</w:t>
      </w:r>
    </w:p>
    <w:bookmarkEnd w:id="82"/>
    <w:bookmarkStart w:name="z85" w:id="83"/>
    <w:p>
      <w:pPr>
        <w:spacing w:after="0"/>
        <w:ind w:left="0"/>
        <w:jc w:val="both"/>
      </w:pPr>
      <w:r>
        <w:rPr>
          <w:rFonts w:ascii="Times New Roman"/>
          <w:b w:val="false"/>
          <w:i w:val="false"/>
          <w:color w:val="000000"/>
          <w:sz w:val="28"/>
        </w:rPr>
        <w:t>
      35. БЦ бар пациенттерге (көрсетілімдер болған кезде) БТ Кодекске сәйкес жүргізіледі.</w:t>
      </w:r>
    </w:p>
    <w:bookmarkEnd w:id="83"/>
    <w:bookmarkStart w:name="z86" w:id="84"/>
    <w:p>
      <w:pPr>
        <w:spacing w:after="0"/>
        <w:ind w:left="0"/>
        <w:jc w:val="both"/>
      </w:pPr>
      <w:r>
        <w:rPr>
          <w:rFonts w:ascii="Times New Roman"/>
          <w:b w:val="false"/>
          <w:i w:val="false"/>
          <w:color w:val="000000"/>
          <w:sz w:val="28"/>
        </w:rPr>
        <w:t>
      36. БТ жүргізу фактісі бойынша МСАК дәрігері ДНЭТ АЖ тиісті ақпаратты енгізеді, одан кейін ақпарат өңірлік ГО-ға беріледі, ол жыл сайын есептік кезеңнен кейінгі жылдың 15 қаңтарына БТ-дан кейін пациенттер саны бойынша есеп қалыптастырады.</w:t>
      </w:r>
    </w:p>
    <w:bookmarkEnd w:id="84"/>
    <w:bookmarkStart w:name="z87" w:id="85"/>
    <w:p>
      <w:pPr>
        <w:spacing w:after="0"/>
        <w:ind w:left="0"/>
        <w:jc w:val="both"/>
      </w:pPr>
      <w:r>
        <w:rPr>
          <w:rFonts w:ascii="Times New Roman"/>
          <w:b w:val="false"/>
          <w:i w:val="false"/>
          <w:color w:val="000000"/>
          <w:sz w:val="28"/>
        </w:rPr>
        <w:t>
      37. БТ-нан кейін пациенттерді динамикалық байқау (иммуносупрессивті терапияның тиімділігі мен қауіпсіздігін мониторингтеу, бағалау) өңірлік жауапты бейінді маманы, ол болмаған кезде – МСАК дәрігері БТ орындайтын медициналық ұйымдар мамандарының консультациялық қорытындысына сәйкес тіркелген жері бойынша МСАК дәрігері жүзеге асырады.</w:t>
      </w:r>
    </w:p>
    <w:bookmarkEnd w:id="85"/>
    <w:bookmarkStart w:name="z88" w:id="86"/>
    <w:p>
      <w:pPr>
        <w:spacing w:after="0"/>
        <w:ind w:left="0"/>
        <w:jc w:val="both"/>
      </w:pPr>
      <w:r>
        <w:rPr>
          <w:rFonts w:ascii="Times New Roman"/>
          <w:b w:val="false"/>
          <w:i w:val="false"/>
          <w:color w:val="000000"/>
          <w:sz w:val="28"/>
        </w:rPr>
        <w:t>
      38. Стационарларық жағдайда БТ-нан кейін пациенттерге мамандандырылғын медициналық көмек көрсету Денсаулық сақтау басқармасы айқындайтын денсаулық сақтау ұйымының гастроэнтерологиялық бөлімше базасында (немесе гастроэнтерологиялық бейіні бар бөлімшелердің) немесе көпбейінді ауруханалардың хирургиялық бөлімшелерінде жүзеге асырылады.</w:t>
      </w:r>
    </w:p>
    <w:bookmarkEnd w:id="86"/>
    <w:bookmarkStart w:name="z89" w:id="87"/>
    <w:p>
      <w:pPr>
        <w:spacing w:after="0"/>
        <w:ind w:left="0"/>
        <w:jc w:val="both"/>
      </w:pPr>
      <w:r>
        <w:rPr>
          <w:rFonts w:ascii="Times New Roman"/>
          <w:b w:val="false"/>
          <w:i w:val="false"/>
          <w:color w:val="000000"/>
          <w:sz w:val="28"/>
        </w:rPr>
        <w:t>
      39. Көрсетілімдер болған жағдайда БТ-дан кейін пациент БТ орындайтын республикалық деңгейдегі ұйымдарға консультацияға немесе емдеуге жатқызуға жіберіледі.</w:t>
      </w:r>
    </w:p>
    <w:bookmarkEnd w:id="87"/>
    <w:bookmarkStart w:name="z90" w:id="88"/>
    <w:p>
      <w:pPr>
        <w:spacing w:after="0"/>
        <w:ind w:left="0"/>
        <w:jc w:val="both"/>
      </w:pPr>
      <w:r>
        <w:rPr>
          <w:rFonts w:ascii="Times New Roman"/>
          <w:b w:val="false"/>
          <w:i w:val="false"/>
          <w:color w:val="000000"/>
          <w:sz w:val="28"/>
        </w:rPr>
        <w:t>
      40. Профилактикалық шаралар мен консультация мыналарды қамтиды:</w:t>
      </w:r>
    </w:p>
    <w:bookmarkEnd w:id="88"/>
    <w:p>
      <w:pPr>
        <w:spacing w:after="0"/>
        <w:ind w:left="0"/>
        <w:jc w:val="both"/>
      </w:pPr>
      <w:r>
        <w:rPr>
          <w:rFonts w:ascii="Times New Roman"/>
          <w:b w:val="false"/>
          <w:i w:val="false"/>
          <w:color w:val="000000"/>
          <w:sz w:val="28"/>
        </w:rPr>
        <w:t>
      1) БЦ бар пациент бекітілген жері бойынша динамикалық байқау;</w:t>
      </w:r>
    </w:p>
    <w:p>
      <w:pPr>
        <w:spacing w:after="0"/>
        <w:ind w:left="0"/>
        <w:jc w:val="both"/>
      </w:pPr>
      <w:r>
        <w:rPr>
          <w:rFonts w:ascii="Times New Roman"/>
          <w:b w:val="false"/>
          <w:i w:val="false"/>
          <w:color w:val="000000"/>
          <w:sz w:val="28"/>
        </w:rPr>
        <w:t>
      2) БЦ бар пациенттерге БТ-нан кейін пациенттерді бейінді маманның, ересек, балалар гастроэнтерология, гастроэнтерология (ересектер), гастроэнтерология (балалар), гастроэнтерология (негізгі мамандық бейіні бойынша ультрадыбыстық диагностика) (ересектер), гастроэнтерология (негізгі мамандық бейіні бойынша ультрадыбыстық диагностика) (балалар), гастроэнтерология (негізгі мамандық бейіні бойынша эндоскопия) (ересектер), настроэнтерология (негізгі мамандық бейіні бойынша эндоскопия) (балалар), гастроэнтерология (негізгі мамандық бейіні бойынша эндоскопия, негізгі мамандық бейіні бойынша ультрадыбыстық диагностика) (ересектер), гастроэнтерология (негізгі мамандық бейіні бойынша эндоскопия, негізгі мамандық бейіні бойынша ультрадыбыстық диагностика) (балалар), гастроэнтерология, оның ішінде балалар, инфекциялық аурулар ересектер, балалар, инфекциялық аурулар (ересектер), инфекциялық аурулар (балалар), инфекциялық аурулар, соның ішінде балалар өңірлік ГО пациентке тиісті консультатциялық қорытынды бере отырып әрбір 6 (алты) ай сайын;</w:t>
      </w:r>
    </w:p>
    <w:p>
      <w:pPr>
        <w:spacing w:after="0"/>
        <w:ind w:left="0"/>
        <w:jc w:val="both"/>
      </w:pPr>
      <w:r>
        <w:rPr>
          <w:rFonts w:ascii="Times New Roman"/>
          <w:b w:val="false"/>
          <w:i w:val="false"/>
          <w:color w:val="000000"/>
          <w:sz w:val="28"/>
        </w:rPr>
        <w:t>
      3) БЦ бар науқастар КХ сәйкес гепатоцеллюлярлық карциномаға тұрақты скринингтен өткізу.</w:t>
      </w:r>
    </w:p>
    <w:bookmarkStart w:name="z91" w:id="89"/>
    <w:p>
      <w:pPr>
        <w:spacing w:after="0"/>
        <w:ind w:left="0"/>
        <w:jc w:val="left"/>
      </w:pPr>
      <w:r>
        <w:rPr>
          <w:rFonts w:ascii="Times New Roman"/>
          <w:b/>
          <w:i w:val="false"/>
          <w:color w:val="000000"/>
        </w:rPr>
        <w:t xml:space="preserve"> 6-параграф. Ішектің қабыну аурулары бар пациенттерге медициналық көмек көрсету тәртібі</w:t>
      </w:r>
    </w:p>
    <w:bookmarkEnd w:id="89"/>
    <w:bookmarkStart w:name="z92" w:id="90"/>
    <w:p>
      <w:pPr>
        <w:spacing w:after="0"/>
        <w:ind w:left="0"/>
        <w:jc w:val="both"/>
      </w:pPr>
      <w:r>
        <w:rPr>
          <w:rFonts w:ascii="Times New Roman"/>
          <w:b w:val="false"/>
          <w:i w:val="false"/>
          <w:color w:val="000000"/>
          <w:sz w:val="28"/>
        </w:rPr>
        <w:t>
      41. Ішектің қабыну ауруларымен (бұдан әрі – ІҚА) ауыратын пациенттерге медициналық көмек ТМККК және (немесе) МӘМС тізбесінің шегінде МСАК, стационар алмастыратын және стационарлық көмек көрсететін ұйымдарда, оның ішінде республикалық денсаулық сақтау ұйымдарында көрсетіледі.</w:t>
      </w:r>
    </w:p>
    <w:bookmarkEnd w:id="90"/>
    <w:bookmarkStart w:name="z93" w:id="91"/>
    <w:p>
      <w:pPr>
        <w:spacing w:after="0"/>
        <w:ind w:left="0"/>
        <w:jc w:val="both"/>
      </w:pPr>
      <w:r>
        <w:rPr>
          <w:rFonts w:ascii="Times New Roman"/>
          <w:b w:val="false"/>
          <w:i w:val="false"/>
          <w:color w:val="000000"/>
          <w:sz w:val="28"/>
        </w:rPr>
        <w:t>
      42. IҚА бар және оларға күдікті пациенттерді бірінші зерттеп-қарауды бекітілген жері бойынша МСАК дәрігері немесе МСАК дәрігерінің жолдамасымен ересек, балалар гастроэнтерологиясы мамандығы бойынша дәрігер жүзеге асырады.</w:t>
      </w:r>
    </w:p>
    <w:bookmarkEnd w:id="91"/>
    <w:bookmarkStart w:name="z94" w:id="92"/>
    <w:p>
      <w:pPr>
        <w:spacing w:after="0"/>
        <w:ind w:left="0"/>
        <w:jc w:val="both"/>
      </w:pPr>
      <w:r>
        <w:rPr>
          <w:rFonts w:ascii="Times New Roman"/>
          <w:b w:val="false"/>
          <w:i w:val="false"/>
          <w:color w:val="000000"/>
          <w:sz w:val="28"/>
        </w:rPr>
        <w:t>
      43. ІҚА ауыратын пациенттерге мамандандырылған (гастроэнтерологиялық) медициналық көмекті қосымша білім беру бағдарламалары бойынша біліктілікті арттырудың өткен циклдарынан ересектер, балалар гастроэнтерологиясы, гастроэнтерология (ересектер), гастроэнтерология (балалар), гастроэнтерология (негізгі мамандық бейіні бойынша ультрадыбыстық диагностика) (ересектер), гастроэнтерология (негізгі мамандық бейіні бойынша ультрадыбыстық диагностика) (балалар), гастроэнтерология негізгі мамандық бейіні бойынша (эндоскопия) (ересектер), гастроэнтерология (негізгі мамандық бейіні бойынша эндоскопия) (балалар), гастроэнтерология (негізгі мамандық бейіні бойынша эндоскопия, негізгі мамандық бейіні бойынша ультрадыбыстық диагностика) (ересектер), гастроэнтерология (негізгі мамандық бейіні бойынша эндоскопия, негізгі мамандық бейіні бойынша ультрадыбыстық диагностика) (балалар), гастроэнтерология, оның ішінде балалар мамандығы бойынша дәрігерлер көрсетеді олардың білім беру бағдарламасы ІҚА бар пациенттерді қадағалап қарауды.</w:t>
      </w:r>
    </w:p>
    <w:bookmarkEnd w:id="92"/>
    <w:bookmarkStart w:name="z95" w:id="93"/>
    <w:p>
      <w:pPr>
        <w:spacing w:after="0"/>
        <w:ind w:left="0"/>
        <w:jc w:val="both"/>
      </w:pPr>
      <w:r>
        <w:rPr>
          <w:rFonts w:ascii="Times New Roman"/>
          <w:b w:val="false"/>
          <w:i w:val="false"/>
          <w:color w:val="000000"/>
          <w:sz w:val="28"/>
        </w:rPr>
        <w:t>
      44. Стационарлық жағдайда ІҚА пациенттеріне мамандандырылған медициналық көмек көрсету Денсаулық сақтау басқармалары айқындайтын көп бейінді ауруханалардың гастроэнтерологиялық бөлімшелерінің (немесе гастроэнтерологиялық бейіні бар бөлімшелерінің) базасында және денсаулық сақтау ұйымдарының үшінші деңгейінде жүзеге асырылады.</w:t>
      </w:r>
    </w:p>
    <w:bookmarkEnd w:id="93"/>
    <w:bookmarkStart w:name="z96" w:id="94"/>
    <w:p>
      <w:pPr>
        <w:spacing w:after="0"/>
        <w:ind w:left="0"/>
        <w:jc w:val="both"/>
      </w:pPr>
      <w:r>
        <w:rPr>
          <w:rFonts w:ascii="Times New Roman"/>
          <w:b w:val="false"/>
          <w:i w:val="false"/>
          <w:color w:val="000000"/>
          <w:sz w:val="28"/>
        </w:rPr>
        <w:t>
      45. ІҚА пациенттеріне медициналық көмек:</w:t>
      </w:r>
    </w:p>
    <w:bookmarkEnd w:id="94"/>
    <w:bookmarkStart w:name="z97" w:id="95"/>
    <w:p>
      <w:pPr>
        <w:spacing w:after="0"/>
        <w:ind w:left="0"/>
        <w:jc w:val="both"/>
      </w:pPr>
      <w:r>
        <w:rPr>
          <w:rFonts w:ascii="Times New Roman"/>
          <w:b w:val="false"/>
          <w:i w:val="false"/>
          <w:color w:val="000000"/>
          <w:sz w:val="28"/>
        </w:rPr>
        <w:t>
      1) бірінші зерттеп-қарау;</w:t>
      </w:r>
    </w:p>
    <w:bookmarkEnd w:id="95"/>
    <w:bookmarkStart w:name="z98" w:id="96"/>
    <w:p>
      <w:pPr>
        <w:spacing w:after="0"/>
        <w:ind w:left="0"/>
        <w:jc w:val="both"/>
      </w:pPr>
      <w:r>
        <w:rPr>
          <w:rFonts w:ascii="Times New Roman"/>
          <w:b w:val="false"/>
          <w:i w:val="false"/>
          <w:color w:val="000000"/>
          <w:sz w:val="28"/>
        </w:rPr>
        <w:t>
      2) диагнозды белгілеуді;</w:t>
      </w:r>
    </w:p>
    <w:bookmarkEnd w:id="96"/>
    <w:bookmarkStart w:name="z99" w:id="97"/>
    <w:p>
      <w:pPr>
        <w:spacing w:after="0"/>
        <w:ind w:left="0"/>
        <w:jc w:val="both"/>
      </w:pPr>
      <w:r>
        <w:rPr>
          <w:rFonts w:ascii="Times New Roman"/>
          <w:b w:val="false"/>
          <w:i w:val="false"/>
          <w:color w:val="000000"/>
          <w:sz w:val="28"/>
        </w:rPr>
        <w:t>
      3) иммундық супрессивті және (немесе) гендік-инженерлік биологиялық терапияға көрсетілімдерді айқындай отырып, терапия режимін таңдауды;</w:t>
      </w:r>
    </w:p>
    <w:bookmarkEnd w:id="97"/>
    <w:bookmarkStart w:name="z100" w:id="98"/>
    <w:p>
      <w:pPr>
        <w:spacing w:after="0"/>
        <w:ind w:left="0"/>
        <w:jc w:val="both"/>
      </w:pPr>
      <w:r>
        <w:rPr>
          <w:rFonts w:ascii="Times New Roman"/>
          <w:b w:val="false"/>
          <w:i w:val="false"/>
          <w:color w:val="000000"/>
          <w:sz w:val="28"/>
        </w:rPr>
        <w:t>
      4) гендік-инженерлік биологиялық терапияны (бастама) стационар жағдайында бастауды қамтиды.</w:t>
      </w:r>
    </w:p>
    <w:bookmarkEnd w:id="98"/>
    <w:p>
      <w:pPr>
        <w:spacing w:after="0"/>
        <w:ind w:left="0"/>
        <w:jc w:val="both"/>
      </w:pPr>
      <w:r>
        <w:rPr>
          <w:rFonts w:ascii="Times New Roman"/>
          <w:b w:val="false"/>
          <w:i w:val="false"/>
          <w:color w:val="000000"/>
          <w:sz w:val="28"/>
        </w:rPr>
        <w:t>
      Гендік-инженерлік биологиялық терапия көрсетілімдерді және тағайындауды айқындау Денсаулық сақтау басқармасы жанынан құрылған штаттан тыс бас гастроэнтеролог, МСАК емдеуші дәрігер немесе гастроэнтеролог-дәрігер, гендік-инженерлік терапияны тағайындайтын медициналық ұйымның емдеу ісінің бас дәрігерінің орынбасарының қатысуымен, бейінді мамандарды (колопроктолог, фтизиатр, ревматолог, онколог, дерматолог, офтальмолог) тартумен консилиум жүргізеді.</w:t>
      </w:r>
    </w:p>
    <w:bookmarkStart w:name="z101" w:id="99"/>
    <w:p>
      <w:pPr>
        <w:spacing w:after="0"/>
        <w:ind w:left="0"/>
        <w:jc w:val="both"/>
      </w:pPr>
      <w:r>
        <w:rPr>
          <w:rFonts w:ascii="Times New Roman"/>
          <w:b w:val="false"/>
          <w:i w:val="false"/>
          <w:color w:val="000000"/>
          <w:sz w:val="28"/>
        </w:rPr>
        <w:t>
      46. Пациенттердің дәрілік заттарды алуға арналған рецепттерді жазып беруді МСАК дәрігері жүргізеді;</w:t>
      </w:r>
    </w:p>
    <w:bookmarkEnd w:id="99"/>
    <w:bookmarkStart w:name="z102" w:id="100"/>
    <w:p>
      <w:pPr>
        <w:spacing w:after="0"/>
        <w:ind w:left="0"/>
        <w:jc w:val="both"/>
      </w:pPr>
      <w:r>
        <w:rPr>
          <w:rFonts w:ascii="Times New Roman"/>
          <w:b w:val="false"/>
          <w:i w:val="false"/>
          <w:color w:val="000000"/>
          <w:sz w:val="28"/>
        </w:rPr>
        <w:t>
      47. ІҚА емдеу дәрілік препараттарды жіберуді Денсаулық сақтау басқармасы айқындайтын денсаулық сақтау ұйымы жүргізеді.</w:t>
      </w:r>
    </w:p>
    <w:bookmarkEnd w:id="100"/>
    <w:bookmarkStart w:name="z103" w:id="101"/>
    <w:p>
      <w:pPr>
        <w:spacing w:after="0"/>
        <w:ind w:left="0"/>
        <w:jc w:val="both"/>
      </w:pPr>
      <w:r>
        <w:rPr>
          <w:rFonts w:ascii="Times New Roman"/>
          <w:b w:val="false"/>
          <w:i w:val="false"/>
          <w:color w:val="000000"/>
          <w:sz w:val="28"/>
        </w:rPr>
        <w:t>
      48. ІҚА пациенттері колоректальды обырға тұрақты скринингтен өтеді.</w:t>
      </w:r>
    </w:p>
    <w:bookmarkEnd w:id="101"/>
    <w:bookmarkStart w:name="z104" w:id="102"/>
    <w:p>
      <w:pPr>
        <w:spacing w:after="0"/>
        <w:ind w:left="0"/>
        <w:jc w:val="both"/>
      </w:pPr>
      <w:r>
        <w:rPr>
          <w:rFonts w:ascii="Times New Roman"/>
          <w:b w:val="false"/>
          <w:i w:val="false"/>
          <w:color w:val="000000"/>
          <w:sz w:val="28"/>
        </w:rPr>
        <w:t>
      49. ІҚА диагнозы қойылған кезде МСАК дәрігері ДНЭТ АЖ-ға ақпарат енгізеді.</w:t>
      </w:r>
    </w:p>
    <w:bookmarkEnd w:id="102"/>
    <w:bookmarkStart w:name="z105" w:id="103"/>
    <w:p>
      <w:pPr>
        <w:spacing w:after="0"/>
        <w:ind w:left="0"/>
        <w:jc w:val="left"/>
      </w:pPr>
      <w:r>
        <w:rPr>
          <w:rFonts w:ascii="Times New Roman"/>
          <w:b/>
          <w:i w:val="false"/>
          <w:color w:val="000000"/>
        </w:rPr>
        <w:t xml:space="preserve"> 5-тарау. Гастроэнтерологиялық және гепатологиялық көмек көрсететін денсаулық сақтау ұйымдарының қызметкерлер штаты</w:t>
      </w:r>
    </w:p>
    <w:bookmarkEnd w:id="103"/>
    <w:bookmarkStart w:name="z106" w:id="104"/>
    <w:p>
      <w:pPr>
        <w:spacing w:after="0"/>
        <w:ind w:left="0"/>
        <w:jc w:val="both"/>
      </w:pPr>
      <w:r>
        <w:rPr>
          <w:rFonts w:ascii="Times New Roman"/>
          <w:b w:val="false"/>
          <w:i w:val="false"/>
          <w:color w:val="000000"/>
          <w:sz w:val="28"/>
        </w:rPr>
        <w:t xml:space="preserve">
      50. Қызметкерлердің штаттары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гастроэнтерологиялық және гепатологиялық көмек көрсететін денсаулық сақтау ұйымдарының штаттық нормативтерімен белгіленеді.</w:t>
      </w:r>
    </w:p>
    <w:bookmarkEnd w:id="104"/>
    <w:bookmarkStart w:name="z107" w:id="105"/>
    <w:p>
      <w:pPr>
        <w:spacing w:after="0"/>
        <w:ind w:left="0"/>
        <w:jc w:val="left"/>
      </w:pPr>
      <w:r>
        <w:rPr>
          <w:rFonts w:ascii="Times New Roman"/>
          <w:b/>
          <w:i w:val="false"/>
          <w:color w:val="000000"/>
        </w:rPr>
        <w:t xml:space="preserve"> 6-тарау. Гастроэнтерологиялық және гепатологиялық көмек көрсететін денсаулық сақтау ұйымдарды медициналық бұйымдармен жабдықтау</w:t>
      </w:r>
    </w:p>
    <w:bookmarkEnd w:id="105"/>
    <w:bookmarkStart w:name="z108" w:id="106"/>
    <w:p>
      <w:pPr>
        <w:spacing w:after="0"/>
        <w:ind w:left="0"/>
        <w:jc w:val="both"/>
      </w:pPr>
      <w:r>
        <w:rPr>
          <w:rFonts w:ascii="Times New Roman"/>
          <w:b w:val="false"/>
          <w:i w:val="false"/>
          <w:color w:val="000000"/>
          <w:sz w:val="28"/>
        </w:rPr>
        <w:t xml:space="preserve">
      51. Гастроэнтерологиялық және гепатологиялық көмек көрсететін ұйымдарды медициналық мақсаттағы бұйымдармен жарақтандыру осы Стандартқа </w:t>
      </w:r>
      <w:r>
        <w:rPr>
          <w:rFonts w:ascii="Times New Roman"/>
          <w:b w:val="false"/>
          <w:i w:val="false"/>
          <w:color w:val="000000"/>
          <w:sz w:val="28"/>
        </w:rPr>
        <w:t>2 қосымшаға</w:t>
      </w:r>
      <w:r>
        <w:rPr>
          <w:rFonts w:ascii="Times New Roman"/>
          <w:b w:val="false"/>
          <w:i w:val="false"/>
          <w:color w:val="000000"/>
          <w:sz w:val="28"/>
        </w:rPr>
        <w:t xml:space="preserve"> сәйкес жүзеге асырылады.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гастроэнтерологиялық және</w:t>
            </w:r>
            <w:r>
              <w:br/>
            </w:r>
            <w:r>
              <w:rPr>
                <w:rFonts w:ascii="Times New Roman"/>
                <w:b w:val="false"/>
                <w:i w:val="false"/>
                <w:color w:val="000000"/>
                <w:sz w:val="20"/>
              </w:rPr>
              <w:t>гепатологиялық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110" w:id="107"/>
    <w:p>
      <w:pPr>
        <w:spacing w:after="0"/>
        <w:ind w:left="0"/>
        <w:jc w:val="left"/>
      </w:pPr>
      <w:r>
        <w:rPr>
          <w:rFonts w:ascii="Times New Roman"/>
          <w:b/>
          <w:i w:val="false"/>
          <w:color w:val="000000"/>
        </w:rPr>
        <w:t xml:space="preserve"> Гастроэнтерологиялық және гепатологиялық көмек көрсететін денсаулық сақтау ұйымдарының штаттық нормативі</w:t>
      </w:r>
    </w:p>
    <w:bookmarkEnd w:id="107"/>
    <w:bookmarkStart w:name="z111" w:id="108"/>
    <w:p>
      <w:pPr>
        <w:spacing w:after="0"/>
        <w:ind w:left="0"/>
        <w:jc w:val="both"/>
      </w:pPr>
      <w:r>
        <w:rPr>
          <w:rFonts w:ascii="Times New Roman"/>
          <w:b w:val="false"/>
          <w:i w:val="false"/>
          <w:color w:val="000000"/>
          <w:sz w:val="28"/>
        </w:rPr>
        <w:t>
      Гастроэнтерологиялық және гепатологиялық көмек көрсететін ұйымдардың қызметкерлерінің штаты денсаулық сақтау ұйымдарының штаттық нормативтеріне сәйкес бекітіледі.</w:t>
      </w:r>
    </w:p>
    <w:bookmarkEnd w:id="108"/>
    <w:bookmarkStart w:name="z112" w:id="109"/>
    <w:p>
      <w:pPr>
        <w:spacing w:after="0"/>
        <w:ind w:left="0"/>
        <w:jc w:val="left"/>
      </w:pPr>
      <w:r>
        <w:rPr>
          <w:rFonts w:ascii="Times New Roman"/>
          <w:b/>
          <w:i w:val="false"/>
          <w:color w:val="000000"/>
        </w:rPr>
        <w:t xml:space="preserve"> 1-кесте. Амбулаториялық деңгейде гастроэнтерологиялық және гепатологиялық көмек көрсететін денсаулық сақтау ұйымдар қызметкерлерінің штаттық нормативтері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халыққа шаққанда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дәрігерге шаққанда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13" w:id="110"/>
    <w:p>
      <w:pPr>
        <w:spacing w:after="0"/>
        <w:ind w:left="0"/>
        <w:jc w:val="left"/>
      </w:pPr>
      <w:r>
        <w:rPr>
          <w:rFonts w:ascii="Times New Roman"/>
          <w:b/>
          <w:i w:val="false"/>
          <w:color w:val="000000"/>
        </w:rPr>
        <w:t xml:space="preserve"> 2-кесте. Гепатология орталығында гастроэнтерологиялық және гепатологиялық көмек көрсететін денсаулық сақтау ұйымдарының қызметкерлерінің штаттық нормативтері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 гепатолог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халыққа шаққанда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гепатолог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халыққа шаққанда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дәрігерге шаққанда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14" w:id="111"/>
    <w:p>
      <w:pPr>
        <w:spacing w:after="0"/>
        <w:ind w:left="0"/>
        <w:jc w:val="left"/>
      </w:pPr>
      <w:r>
        <w:rPr>
          <w:rFonts w:ascii="Times New Roman"/>
          <w:b/>
          <w:i w:val="false"/>
          <w:color w:val="000000"/>
        </w:rPr>
        <w:t xml:space="preserve"> 3-кесте. Стационарлық жағдайларда гастроэнтерологиялық және гепатологиялық көмек көрсететін денсаулық сақтау ұйымдардың ұсынылатын штаттық нормативтері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үшін – 16 төсекке 1,0, балалар үшін – 16 төсекке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мейіргер (пост мейіргері)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тәулік бойы 1 постқа шаққанда есеппен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күту бойынша мейіргер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тәулік бойы 1 постқа шаққанда есеппен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тәулік бойы 1 постқа шаққанда есеппен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w:t>
            </w:r>
            <w:r>
              <w:br/>
            </w:r>
            <w:r>
              <w:rPr>
                <w:rFonts w:ascii="Times New Roman"/>
                <w:b w:val="false"/>
                <w:i w:val="false"/>
                <w:color w:val="000000"/>
                <w:sz w:val="20"/>
              </w:rPr>
              <w:t>гастроэнтерологиялық және</w:t>
            </w:r>
            <w:r>
              <w:br/>
            </w:r>
            <w:r>
              <w:rPr>
                <w:rFonts w:ascii="Times New Roman"/>
                <w:b w:val="false"/>
                <w:i w:val="false"/>
                <w:color w:val="000000"/>
                <w:sz w:val="20"/>
              </w:rPr>
              <w:t>гепатологиялық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116" w:id="112"/>
    <w:p>
      <w:pPr>
        <w:spacing w:after="0"/>
        <w:ind w:left="0"/>
        <w:jc w:val="left"/>
      </w:pPr>
      <w:r>
        <w:rPr>
          <w:rFonts w:ascii="Times New Roman"/>
          <w:b/>
          <w:i w:val="false"/>
          <w:color w:val="000000"/>
        </w:rPr>
        <w:t xml:space="preserve"> 1-кесте. Құрылымында гастроэнтеролог кабинеті бар  денсаулық сақтау ұйымдарындағы медициналық  жабдықтардың тізбесі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Эзофагастродуоденоскопия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жүйе (бейнепроцессор, монитор, жарық беруші,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Бейнегастроскоп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 тексеруге арналған кушетка немесе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зерттеуге материал алуға арналған формалині бар шынылар мен құтылар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көлеміне қарай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Ректоскопия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Ректоскопқа арналған биопсиялық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жарықтандырғыш немесе процессор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 тексеруге арналған кушетка немесе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зерттеуге материал алуға арналған формалині бар шынылар мен құтылар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көлеміне қарай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 мен құрал-саймандарды жууға және стерильдеуге  арналған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автоматты жууға және стерильдеуге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кептіруге және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Ультрадыбыстық диагностикаға арналған аппарат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қарап-тексеруге арналған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уреаз тестін жүргізуге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7" w:id="113"/>
    <w:p>
      <w:pPr>
        <w:spacing w:after="0"/>
        <w:ind w:left="0"/>
        <w:jc w:val="left"/>
      </w:pPr>
      <w:r>
        <w:rPr>
          <w:rFonts w:ascii="Times New Roman"/>
          <w:b/>
          <w:i w:val="false"/>
          <w:color w:val="000000"/>
        </w:rPr>
        <w:t xml:space="preserve"> 2-кесте. Құрылымында гепатология орталығы бар  денсаулық сақтау ұйымдарындағы  медициналық жабдықтардың тізбесі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жүйе (бейнепроцессор, монитор, жарық беруші,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Бейнегастроскоп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 тексеруге арналған кушетка немесе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зерттеуге материал алуға арналған формалині бар шынылар мен құтылар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көлеміне қарай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 және ректоскопия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жүйе (процессор, монитор,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колонноскоп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Ректоскопқа арналған биопсиялық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жарықтандырғыш немесе процессор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 тексеруге арналған кушетка немесе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зерттеуге материал алуға арналған формалині бар шынылар мен құтылар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көлеміне қарай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 мен құрал-саймандарды жууға және стерильдеуге арналған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автоматты жууға және стерильдеуге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кептіруге және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Доплерогафиялық карталау функциясы бар ультрадыбыстық диагностикаға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жанама эластография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 тексеруге арналған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8" w:id="114"/>
    <w:p>
      <w:pPr>
        <w:spacing w:after="0"/>
        <w:ind w:left="0"/>
        <w:jc w:val="left"/>
      </w:pPr>
      <w:r>
        <w:rPr>
          <w:rFonts w:ascii="Times New Roman"/>
          <w:b/>
          <w:i w:val="false"/>
          <w:color w:val="000000"/>
        </w:rPr>
        <w:t xml:space="preserve"> 3-кесте. Құрылымында гастроэнтерология (гастроэнтерология және гепатология) бөлімшесі бар денсаулық сақтаудағы медициналық жабдықтардың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Эзофагастродуоденоскопия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жүйе (процессор, монитор,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Бейнегастроскоп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жарықтандырғыш немесе процессор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тексеруге арналған кушетка немесе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зерттеуге материал алуға арналған формалині бар шынылар мен құтылар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көлеміне қарай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 және ректоскопия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жүйе (процессор, монитор,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колонноскоп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Ректоскопқа арналған биопсиялық қысқыштар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жарықтандырғыш немесе процессор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тексеруге арналған кушетка немесе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зерттеуге материал алуға арналған формалині бар шынылар мен құтылар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көлеміне қарай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Ренгтгенэндоскопиялық операциялық бөлме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жүйе (процессор, монитор,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Бейнедуоденоскоп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эндоскоп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Электрооптикалық немесе С–доға түрлендіргіші бар стационарлық рентгенологиялық аппарат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Наркозды–тыныс алу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арналған 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Электрохирургиялық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ЭРХПГ (эндоскопиялық ретроградтық холангиопанкреатография) арналған катетер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Гастроскопияға арналған ілмек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Колоноскопияға арналған ілмек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Гастроскопияға арналған инжектор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Колоноскопияға арналған инжекторлар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Дормиа себеті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 – және колоноскопияға арналған клипс жинағы бар клипатор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заттарды жоюға арналған құрал–сайман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жарықтандырғыш немесе процессор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қарап-тексеруге арналған кушетка немесе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зерттеуге материал алуға арналған формалині бар шынылар мен құтылар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көлеміне қарай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 мен құрал-саймандарды жууға және стерильдеуге арналған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автоматты жууға және стерильдеуге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кептіруге және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көлеміне қарай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рентгенологиялық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Доплерогафиялық карталау функциясы бар ультрадыбыстық диагностикаға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серпімділігін (эластометриясын) өлшеуге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 және/немесе магнитті резонансты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Контрастық затты енгізуге арналған инжектор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Колбалық немесе колбалық емес (колбалар, сорғыш түтікшелері, пациенттің түтікшелері) болуына байланысты инжекторға арналғаншығын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йод бар контрасты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гадолиний бар контрасты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көлеміне қарай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пункциялық биопсиясына арналған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көлеміне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Қарыншаішілік рН-метрияны жүргізуге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тестін жүргізуге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қарап-тексеруге арналған кушетка немесе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