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af2c" w14:textId="c06a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дүниесінің гендік қорымен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10 наурыздағы № 82 бұйрығы. Қазақстан Республикасының Әділет министрлігінде 2023 жылғы 17 наурызда № 32092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07.03.2023 жылғы бастап күшіне енеді</w:t>
      </w:r>
    </w:p>
    <w:bookmarkStart w:name="z1" w:id="0"/>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 дүниесінің гендік қорымен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2023 жылғы 7 наурыздан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10 наурыздағы</w:t>
            </w:r>
            <w:r>
              <w:br/>
            </w:r>
            <w:r>
              <w:rPr>
                <w:rFonts w:ascii="Times New Roman"/>
                <w:b w:val="false"/>
                <w:i w:val="false"/>
                <w:color w:val="000000"/>
                <w:sz w:val="20"/>
              </w:rPr>
              <w:t>№ 82 №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Өсімдіктер дүниесінің гендік қорымен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Өсімдіктер дүниесінің гендік қорымен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 дүниесі туралы" Қазақстан Республикасы Заңының (бұдан әрі – Заң)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өсімдіктер дүниесінің гендік қорымен жұмыс істеу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өсімдіктер дүниесі – табиғи жағдайларда өсетін, сондай-ақ белгілі бір аумақта қолдан отырғызылған өсімдік түрлерінің, олардың популяциялары мен қауымдастықтарының жиынтығы;</w:t>
      </w:r>
    </w:p>
    <w:bookmarkEnd w:id="12"/>
    <w:bookmarkStart w:name="z15" w:id="13"/>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саласындағы уәкілетті орган (бұдан әрі – уәкілетті орган) – өсімдіктер дүниесін күзету, қорғау, қалпына келтіру және пайдалану саласындағы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3) өсімдіктердің генетикалық ресурстары – нақты немесе әлеуетті құндылықты білдіретін өсімдіктердің генетикалық материалы.</w:t>
      </w:r>
    </w:p>
    <w:bookmarkEnd w:id="14"/>
    <w:bookmarkStart w:name="z17" w:id="15"/>
    <w:p>
      <w:pPr>
        <w:spacing w:after="0"/>
        <w:ind w:left="0"/>
        <w:jc w:val="left"/>
      </w:pPr>
      <w:r>
        <w:rPr>
          <w:rFonts w:ascii="Times New Roman"/>
          <w:b/>
          <w:i w:val="false"/>
          <w:color w:val="000000"/>
        </w:rPr>
        <w:t xml:space="preserve"> 2-тарау. Өсімдіктер дүниесінің гендік қорымен жұмыс істеу тәртібі</w:t>
      </w:r>
    </w:p>
    <w:bookmarkEnd w:id="15"/>
    <w:bookmarkStart w:name="z18" w:id="16"/>
    <w:p>
      <w:pPr>
        <w:spacing w:after="0"/>
        <w:ind w:left="0"/>
        <w:jc w:val="both"/>
      </w:pPr>
      <w:r>
        <w:rPr>
          <w:rFonts w:ascii="Times New Roman"/>
          <w:b w:val="false"/>
          <w:i w:val="false"/>
          <w:color w:val="000000"/>
          <w:sz w:val="28"/>
        </w:rPr>
        <w:t>
      3. Өсімдіктер дүниесінің гендік қорын сақтау:</w:t>
      </w:r>
    </w:p>
    <w:bookmarkEnd w:id="16"/>
    <w:bookmarkStart w:name="z19" w:id="17"/>
    <w:p>
      <w:pPr>
        <w:spacing w:after="0"/>
        <w:ind w:left="0"/>
        <w:jc w:val="both"/>
      </w:pPr>
      <w:r>
        <w:rPr>
          <w:rFonts w:ascii="Times New Roman"/>
          <w:b w:val="false"/>
          <w:i w:val="false"/>
          <w:color w:val="000000"/>
          <w:sz w:val="28"/>
        </w:rPr>
        <w:t>
      1) өсімдік түрлерін, популяцияларды олардың табиғи өсетін жерлерінде сақтап тұру және қалпына келтіру;</w:t>
      </w:r>
    </w:p>
    <w:bookmarkEnd w:id="17"/>
    <w:bookmarkStart w:name="z20" w:id="18"/>
    <w:p>
      <w:pPr>
        <w:spacing w:after="0"/>
        <w:ind w:left="0"/>
        <w:jc w:val="both"/>
      </w:pPr>
      <w:r>
        <w:rPr>
          <w:rFonts w:ascii="Times New Roman"/>
          <w:b w:val="false"/>
          <w:i w:val="false"/>
          <w:color w:val="000000"/>
          <w:sz w:val="28"/>
        </w:rPr>
        <w:t>
      2) өсімдіктердің әртүрлілігін олардың табиғи өсетін жерлерінен тыс жерде сақтау арқылы жүзеге асырылады.</w:t>
      </w:r>
    </w:p>
    <w:bookmarkEnd w:id="18"/>
    <w:bookmarkStart w:name="z21" w:id="19"/>
    <w:p>
      <w:pPr>
        <w:spacing w:after="0"/>
        <w:ind w:left="0"/>
        <w:jc w:val="both"/>
      </w:pPr>
      <w:r>
        <w:rPr>
          <w:rFonts w:ascii="Times New Roman"/>
          <w:b w:val="false"/>
          <w:i w:val="false"/>
          <w:color w:val="000000"/>
          <w:sz w:val="28"/>
        </w:rPr>
        <w:t>
      4. Өсімдік түрлерін, олардың популяцияларын табиғи өсетін жерлерінде сақтап тұру және қалпына келтіру түрі мен оның белгіленген табиғи өзге түрлерінің (нысандарының) гендік қоры сақталған учаскелерді бөлу Қазақстан Республикасының ерекше қорғалатын табиғи аумақтар саласындағы заңнамасында белгіленген тәртіппен оларға мемлекеттік табиғи-қорық қорының және ерекше қорғалатын табиғи аумақтар объектісі мәртебесін беру арқылы қамтамасыз етіледі.</w:t>
      </w:r>
    </w:p>
    <w:bookmarkEnd w:id="19"/>
    <w:bookmarkStart w:name="z22" w:id="20"/>
    <w:p>
      <w:pPr>
        <w:spacing w:after="0"/>
        <w:ind w:left="0"/>
        <w:jc w:val="both"/>
      </w:pPr>
      <w:r>
        <w:rPr>
          <w:rFonts w:ascii="Times New Roman"/>
          <w:b w:val="false"/>
          <w:i w:val="false"/>
          <w:color w:val="000000"/>
          <w:sz w:val="28"/>
        </w:rPr>
        <w:t>
      5. Өсімдік әртүрлілігін олардың табиғи өсетін жерлерінен тыс жерде сақтау екпелерді, өсімдіктердің бағалы түрлерінің және (немесе) олардың өзге түрлерінің (нысандарының) тірі коллекцияларын қолдан жасау және күтіп-баптау, сондай-ақ популяциялардан, олардың вегетативтік бөліктерінен, тұқымдарынан (спораларынан) өсімдіктерді консервациялаудың әртүрлі тәсілдерін пайдалана отырып, бақыланатын ортада күтіп-баптау арқылы қамтамасыз етіледі.</w:t>
      </w:r>
    </w:p>
    <w:bookmarkEnd w:id="20"/>
    <w:bookmarkStart w:name="z23" w:id="21"/>
    <w:p>
      <w:pPr>
        <w:spacing w:after="0"/>
        <w:ind w:left="0"/>
        <w:jc w:val="both"/>
      </w:pPr>
      <w:r>
        <w:rPr>
          <w:rFonts w:ascii="Times New Roman"/>
          <w:b w:val="false"/>
          <w:i w:val="false"/>
          <w:color w:val="000000"/>
          <w:sz w:val="28"/>
        </w:rPr>
        <w:t>
      6. Өсімдіктердің сақталатын генетикалық ресурстары туралы ақпаратты құзыретті органдар қалыптастырады және жыл сайын есепті кезеңнен кейінгі жылдың 1 ақпанынан кешіктірмей генетикалық ресурстарға қол жеткізу және пайданы бірлесіп пайдалану мәселелері жөніндегі ұлттық үйлестіру орталығы (бұдан әрі – ұлттық үйлестіру орталығы) беріледі.</w:t>
      </w:r>
    </w:p>
    <w:bookmarkEnd w:id="21"/>
    <w:bookmarkStart w:name="z24" w:id="22"/>
    <w:p>
      <w:pPr>
        <w:spacing w:after="0"/>
        <w:ind w:left="0"/>
        <w:jc w:val="both"/>
      </w:pPr>
      <w:r>
        <w:rPr>
          <w:rFonts w:ascii="Times New Roman"/>
          <w:b w:val="false"/>
          <w:i w:val="false"/>
          <w:color w:val="000000"/>
          <w:sz w:val="28"/>
        </w:rPr>
        <w:t>
      7. Мұндай ақпаратқа қол жеткізу осы қағидаларына сәйкес делдалдықтың ұлттық тетігі арқылы жүзеге асырылады.</w:t>
      </w:r>
    </w:p>
    <w:bookmarkEnd w:id="22"/>
    <w:bookmarkStart w:name="z25" w:id="23"/>
    <w:p>
      <w:pPr>
        <w:spacing w:after="0"/>
        <w:ind w:left="0"/>
        <w:jc w:val="both"/>
      </w:pPr>
      <w:r>
        <w:rPr>
          <w:rFonts w:ascii="Times New Roman"/>
          <w:b w:val="false"/>
          <w:i w:val="false"/>
          <w:color w:val="000000"/>
          <w:sz w:val="28"/>
        </w:rPr>
        <w:t>
      8. Генетикалық ресурстарды жеткізуші немесе олардың әлеуетті пайдаланушысы ұлттық үйлестіру орталығына кез келген ыңғайлы тәсілмен (телефон, электрондық пошта, жеке өзі) жүгінеді және қазақ және (немесе) орыс немесе ағылшын тілінде қол жеткізуге өтінімді толтырады.</w:t>
      </w:r>
    </w:p>
    <w:bookmarkEnd w:id="23"/>
    <w:bookmarkStart w:name="z26" w:id="24"/>
    <w:p>
      <w:pPr>
        <w:spacing w:after="0"/>
        <w:ind w:left="0"/>
        <w:jc w:val="both"/>
      </w:pPr>
      <w:r>
        <w:rPr>
          <w:rFonts w:ascii="Times New Roman"/>
          <w:b w:val="false"/>
          <w:i w:val="false"/>
          <w:color w:val="000000"/>
          <w:sz w:val="28"/>
        </w:rPr>
        <w:t>
      9. Ұлттық үйлестіру орталығына жүгінген кезде өтініш беруші генетикалық ресурстарға қол жеткізуге арналған өтінімде мынадай ақпаратты ұсынады:</w:t>
      </w:r>
    </w:p>
    <w:bookmarkEnd w:id="24"/>
    <w:bookmarkStart w:name="z27" w:id="25"/>
    <w:p>
      <w:pPr>
        <w:spacing w:after="0"/>
        <w:ind w:left="0"/>
        <w:jc w:val="both"/>
      </w:pPr>
      <w:r>
        <w:rPr>
          <w:rFonts w:ascii="Times New Roman"/>
          <w:b w:val="false"/>
          <w:i w:val="false"/>
          <w:color w:val="000000"/>
          <w:sz w:val="28"/>
        </w:rPr>
        <w:t>
      1) Сұрау салынатын генетикалық ресурстың атауы, заңды мекенжайы, байланыс тұлғасы, жеткізушінің және әлеуетті пайдаланушының телефоны мен электрондық пошта мекенжайы;</w:t>
      </w:r>
    </w:p>
    <w:bookmarkEnd w:id="25"/>
    <w:bookmarkStart w:name="z28" w:id="26"/>
    <w:p>
      <w:pPr>
        <w:spacing w:after="0"/>
        <w:ind w:left="0"/>
        <w:jc w:val="both"/>
      </w:pPr>
      <w:r>
        <w:rPr>
          <w:rFonts w:ascii="Times New Roman"/>
          <w:b w:val="false"/>
          <w:i w:val="false"/>
          <w:color w:val="000000"/>
          <w:sz w:val="28"/>
        </w:rPr>
        <w:t>
      2) генетикалық ресурстың биологиялық түрі (егер белгілі болса), оның ішінде латын атауы;</w:t>
      </w:r>
    </w:p>
    <w:bookmarkEnd w:id="26"/>
    <w:bookmarkStart w:name="z29" w:id="27"/>
    <w:p>
      <w:pPr>
        <w:spacing w:after="0"/>
        <w:ind w:left="0"/>
        <w:jc w:val="both"/>
      </w:pPr>
      <w:r>
        <w:rPr>
          <w:rFonts w:ascii="Times New Roman"/>
          <w:b w:val="false"/>
          <w:i w:val="false"/>
          <w:color w:val="000000"/>
          <w:sz w:val="28"/>
        </w:rPr>
        <w:t>
      3) үлгілердің саны және қысқаша сипаттамасы;</w:t>
      </w:r>
    </w:p>
    <w:bookmarkEnd w:id="27"/>
    <w:bookmarkStart w:name="z30" w:id="28"/>
    <w:p>
      <w:pPr>
        <w:spacing w:after="0"/>
        <w:ind w:left="0"/>
        <w:jc w:val="both"/>
      </w:pPr>
      <w:r>
        <w:rPr>
          <w:rFonts w:ascii="Times New Roman"/>
          <w:b w:val="false"/>
          <w:i w:val="false"/>
          <w:color w:val="000000"/>
          <w:sz w:val="28"/>
        </w:rPr>
        <w:t>
      4) пайдалану түрі (ғылыми зерттеулер; коммерциялық пайдалану) ;</w:t>
      </w:r>
    </w:p>
    <w:bookmarkEnd w:id="28"/>
    <w:bookmarkStart w:name="z31" w:id="29"/>
    <w:p>
      <w:pPr>
        <w:spacing w:after="0"/>
        <w:ind w:left="0"/>
        <w:jc w:val="both"/>
      </w:pPr>
      <w:r>
        <w:rPr>
          <w:rFonts w:ascii="Times New Roman"/>
          <w:b w:val="false"/>
          <w:i w:val="false"/>
          <w:color w:val="000000"/>
          <w:sz w:val="28"/>
        </w:rPr>
        <w:t>
      5) ғылыми зерттеудің / коммерциялық пайдаланудың қысқаша сипаттамасы мен мақсаты;</w:t>
      </w:r>
    </w:p>
    <w:bookmarkEnd w:id="29"/>
    <w:bookmarkStart w:name="z32" w:id="30"/>
    <w:p>
      <w:pPr>
        <w:spacing w:after="0"/>
        <w:ind w:left="0"/>
        <w:jc w:val="both"/>
      </w:pPr>
      <w:r>
        <w:rPr>
          <w:rFonts w:ascii="Times New Roman"/>
          <w:b w:val="false"/>
          <w:i w:val="false"/>
          <w:color w:val="000000"/>
          <w:sz w:val="28"/>
        </w:rPr>
        <w:t>
      6) ынтымақтастық туралы шарт (шарт жобасы) немесе келісім (келісім жобасы) (егер дайындалған болса).</w:t>
      </w:r>
    </w:p>
    <w:bookmarkEnd w:id="30"/>
    <w:p>
      <w:pPr>
        <w:spacing w:after="0"/>
        <w:ind w:left="0"/>
        <w:jc w:val="both"/>
      </w:pPr>
      <w:r>
        <w:rPr>
          <w:rFonts w:ascii="Times New Roman"/>
          <w:b w:val="false"/>
          <w:i w:val="false"/>
          <w:color w:val="000000"/>
          <w:sz w:val="28"/>
        </w:rPr>
        <w:t>
      Егер әлеуетті пайдаланушының Қазақстан Республикасында байланыс ұйымы болмаса, онда оның сұрауы бойынша ұлттық үйлестіру орталығы өнім беруші серіктесті іздеуге жәрдем көрсетеді.</w:t>
      </w:r>
    </w:p>
    <w:bookmarkStart w:name="z33" w:id="31"/>
    <w:p>
      <w:pPr>
        <w:spacing w:after="0"/>
        <w:ind w:left="0"/>
        <w:jc w:val="both"/>
      </w:pPr>
      <w:r>
        <w:rPr>
          <w:rFonts w:ascii="Times New Roman"/>
          <w:b w:val="false"/>
          <w:i w:val="false"/>
          <w:color w:val="000000"/>
          <w:sz w:val="28"/>
        </w:rPr>
        <w:t>
      10. Ұлттық үйлестіру орталығы он жұмыс күні ішінде ынтымақтастық туралы шартта (келісімде) генетикалық ресурстарды жеткізуші мен пайдаланушы арасында өзара келісілген талаптардың болуын және олардың Нагояда (Жапония) 2010 жылғы 29 қазанда жасалған биологиялық әртүрлілік туралы конвенцияға оларды қолданудан алынған пайданы әділ және тең негізде генетикалық ресурстарға қол жеткізуді және бірлесіп пайдалануды реттеудің Нагоя хаттамасының талаптарына сәйкестігін тексереді (бұдан әрі - Хаттама).</w:t>
      </w:r>
    </w:p>
    <w:bookmarkEnd w:id="31"/>
    <w:bookmarkStart w:name="z34" w:id="32"/>
    <w:p>
      <w:pPr>
        <w:spacing w:after="0"/>
        <w:ind w:left="0"/>
        <w:jc w:val="both"/>
      </w:pPr>
      <w:r>
        <w:rPr>
          <w:rFonts w:ascii="Times New Roman"/>
          <w:b w:val="false"/>
          <w:i w:val="false"/>
          <w:color w:val="000000"/>
          <w:sz w:val="28"/>
        </w:rPr>
        <w:t>
      11. Өзара келісілген шарттар мыналарды қамтуы керек:</w:t>
      </w:r>
    </w:p>
    <w:bookmarkEnd w:id="32"/>
    <w:bookmarkStart w:name="z35" w:id="33"/>
    <w:p>
      <w:pPr>
        <w:spacing w:after="0"/>
        <w:ind w:left="0"/>
        <w:jc w:val="both"/>
      </w:pPr>
      <w:r>
        <w:rPr>
          <w:rFonts w:ascii="Times New Roman"/>
          <w:b w:val="false"/>
          <w:i w:val="false"/>
          <w:color w:val="000000"/>
          <w:sz w:val="28"/>
        </w:rPr>
        <w:t>
      1) берілген генетикалық ресурстан, оның ішінде зияткерлік меншік құқықтарына қатысты алынған пайданы бірлесіп пайдалану шарттары;</w:t>
      </w:r>
    </w:p>
    <w:bookmarkEnd w:id="33"/>
    <w:bookmarkStart w:name="z36" w:id="34"/>
    <w:p>
      <w:pPr>
        <w:spacing w:after="0"/>
        <w:ind w:left="0"/>
        <w:jc w:val="both"/>
      </w:pPr>
      <w:r>
        <w:rPr>
          <w:rFonts w:ascii="Times New Roman"/>
          <w:b w:val="false"/>
          <w:i w:val="false"/>
          <w:color w:val="000000"/>
          <w:sz w:val="28"/>
        </w:rPr>
        <w:t>
      2)үшінші тараптың кейіннен пайдалану шарттары (егер ол орын алса);</w:t>
      </w:r>
    </w:p>
    <w:bookmarkEnd w:id="34"/>
    <w:bookmarkStart w:name="z37" w:id="35"/>
    <w:p>
      <w:pPr>
        <w:spacing w:after="0"/>
        <w:ind w:left="0"/>
        <w:jc w:val="both"/>
      </w:pPr>
      <w:r>
        <w:rPr>
          <w:rFonts w:ascii="Times New Roman"/>
          <w:b w:val="false"/>
          <w:i w:val="false"/>
          <w:color w:val="000000"/>
          <w:sz w:val="28"/>
        </w:rPr>
        <w:t>
      3) пайдалану мақсаттарын өзгерту туралы ереже.</w:t>
      </w:r>
    </w:p>
    <w:bookmarkEnd w:id="35"/>
    <w:bookmarkStart w:name="z38" w:id="36"/>
    <w:p>
      <w:pPr>
        <w:spacing w:after="0"/>
        <w:ind w:left="0"/>
        <w:jc w:val="both"/>
      </w:pPr>
      <w:r>
        <w:rPr>
          <w:rFonts w:ascii="Times New Roman"/>
          <w:b w:val="false"/>
          <w:i w:val="false"/>
          <w:color w:val="000000"/>
          <w:sz w:val="28"/>
        </w:rPr>
        <w:t>
      12. Келісілген өзара келісілген талаптары бар шартқа (ынтымақтастық туралы келісімге) қол қойылғаннан кейін ұлттық үйлестіру орталығы генетикалық ресурстарға қол жеткізуге рұқсат алу үшін уәкілетті органға жүгінеді, ол он жұмыс күні ішінде хаттама талаптарының сақталуына мәліметтер мен құжаттарды тексереді.</w:t>
      </w:r>
    </w:p>
    <w:bookmarkEnd w:id="36"/>
    <w:bookmarkStart w:name="z39" w:id="37"/>
    <w:p>
      <w:pPr>
        <w:spacing w:after="0"/>
        <w:ind w:left="0"/>
        <w:jc w:val="both"/>
      </w:pPr>
      <w:r>
        <w:rPr>
          <w:rFonts w:ascii="Times New Roman"/>
          <w:b w:val="false"/>
          <w:i w:val="false"/>
          <w:color w:val="000000"/>
          <w:sz w:val="28"/>
        </w:rPr>
        <w:t xml:space="preserve">
      13. Тексеру нәтижелері бойынша уәкілетті орган үш жұмыс күні ішінде генетикалық ресурстарға қол жеткізуге рұқсатты не дәлелді бас тартуды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ұлттық үйлестіру орталығына жібереді.</w:t>
      </w:r>
    </w:p>
    <w:bookmarkEnd w:id="37"/>
    <w:bookmarkStart w:name="z40" w:id="38"/>
    <w:p>
      <w:pPr>
        <w:spacing w:after="0"/>
        <w:ind w:left="0"/>
        <w:jc w:val="both"/>
      </w:pPr>
      <w:r>
        <w:rPr>
          <w:rFonts w:ascii="Times New Roman"/>
          <w:b w:val="false"/>
          <w:i w:val="false"/>
          <w:color w:val="000000"/>
          <w:sz w:val="28"/>
        </w:rPr>
        <w:t>
      14. Ұлттық үйлестіру орталығы барлық құжаттарды тексергеннен кейін үш жұмыс күні ішінде осы Қағидаларға қосымшаға сәйкес нысан бойынша рұқсат береді.</w:t>
      </w:r>
    </w:p>
    <w:bookmarkEnd w:id="38"/>
    <w:bookmarkStart w:name="z41" w:id="39"/>
    <w:p>
      <w:pPr>
        <w:spacing w:after="0"/>
        <w:ind w:left="0"/>
        <w:jc w:val="both"/>
      </w:pPr>
      <w:r>
        <w:rPr>
          <w:rFonts w:ascii="Times New Roman"/>
          <w:b w:val="false"/>
          <w:i w:val="false"/>
          <w:color w:val="000000"/>
          <w:sz w:val="28"/>
        </w:rPr>
        <w:t>
      15. Ұлттық үйлестіру орталығы үш жұмыс күні ішінде генетикалық ресурстарға қол жеткізуді реттеу жөніндегі делдалдық тетігіне генетикалық ресурстарға қол жеткізуге рұқсаттан ақпаратты енгізеді (https://absch.cbd.int/countries) Хаттама талаптарға сәйкестігі туралы халықаралық танылған сертификат жасайды.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әлемінің</w:t>
            </w:r>
            <w:r>
              <w:br/>
            </w:r>
            <w:r>
              <w:rPr>
                <w:rFonts w:ascii="Times New Roman"/>
                <w:b w:val="false"/>
                <w:i w:val="false"/>
                <w:color w:val="000000"/>
                <w:sz w:val="20"/>
              </w:rPr>
              <w:t>генофондымен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289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252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Nagoya Protocol on access to genetic resources and the fair and equitable sharing of benefits arising from their application to the Convention on biological diversity</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Ministry of ecology and natural resources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Export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Ұлттық үйлестіру орталығы</w:t>
            </w:r>
          </w:p>
          <w:p>
            <w:pPr>
              <w:spacing w:after="20"/>
              <w:ind w:left="20"/>
              <w:jc w:val="both"/>
            </w:pPr>
            <w:r>
              <w:rPr>
                <w:rFonts w:ascii="Times New Roman"/>
                <w:b w:val="false"/>
                <w:i w:val="false"/>
                <w:color w:val="000000"/>
                <w:sz w:val="20"/>
              </w:rPr>
              <w:t>
Национальный координационный центр в Республике Казахстан</w:t>
            </w:r>
          </w:p>
          <w:p>
            <w:pPr>
              <w:spacing w:after="20"/>
              <w:ind w:left="20"/>
              <w:jc w:val="both"/>
            </w:pPr>
            <w:r>
              <w:rPr>
                <w:rFonts w:ascii="Times New Roman"/>
                <w:b w:val="false"/>
                <w:i w:val="false"/>
                <w:color w:val="000000"/>
                <w:sz w:val="20"/>
              </w:rPr>
              <w:t>
National focal point in Republic of Kazakhstan</w:t>
            </w:r>
          </w:p>
          <w:p>
            <w:pPr>
              <w:spacing w:after="20"/>
              <w:ind w:left="20"/>
              <w:jc w:val="both"/>
            </w:pPr>
            <w:r>
              <w:rPr>
                <w:rFonts w:ascii="Times New Roman"/>
                <w:b w:val="false"/>
                <w:i w:val="false"/>
                <w:color w:val="000000"/>
                <w:sz w:val="20"/>
              </w:rPr>
              <w:t>
010000,</w:t>
            </w:r>
          </w:p>
          <w:p>
            <w:pPr>
              <w:spacing w:after="20"/>
              <w:ind w:left="20"/>
              <w:jc w:val="both"/>
            </w:pPr>
            <w:r>
              <w:rPr>
                <w:rFonts w:ascii="Times New Roman"/>
                <w:b w:val="false"/>
                <w:i w:val="false"/>
                <w:color w:val="000000"/>
                <w:sz w:val="20"/>
              </w:rPr>
              <w:t>
Ministry House,</w:t>
            </w:r>
          </w:p>
          <w:p>
            <w:pPr>
              <w:spacing w:after="20"/>
              <w:ind w:left="20"/>
              <w:jc w:val="both"/>
            </w:pPr>
            <w:r>
              <w:rPr>
                <w:rFonts w:ascii="Times New Roman"/>
                <w:b w:val="false"/>
                <w:i w:val="false"/>
                <w:color w:val="000000"/>
                <w:sz w:val="20"/>
              </w:rPr>
              <w:t>
Mangelik el 8,</w:t>
            </w:r>
          </w:p>
          <w:p>
            <w:pPr>
              <w:spacing w:after="20"/>
              <w:ind w:left="20"/>
              <w:jc w:val="both"/>
            </w:pPr>
            <w:r>
              <w:rPr>
                <w:rFonts w:ascii="Times New Roman"/>
                <w:b w:val="false"/>
                <w:i w:val="false"/>
                <w:color w:val="000000"/>
                <w:sz w:val="20"/>
              </w:rPr>
              <w:t>
Astana city,</w:t>
            </w:r>
          </w:p>
          <w:p>
            <w:pPr>
              <w:spacing w:after="20"/>
              <w:ind w:left="20"/>
              <w:jc w:val="both"/>
            </w:pPr>
            <w:r>
              <w:rPr>
                <w:rFonts w:ascii="Times New Roman"/>
                <w:b w:val="false"/>
                <w:i w:val="false"/>
                <w:color w:val="000000"/>
                <w:sz w:val="20"/>
              </w:rPr>
              <w:t>
Republic of</w:t>
            </w:r>
          </w:p>
          <w:p>
            <w:pPr>
              <w:spacing w:after="20"/>
              <w:ind w:left="20"/>
              <w:jc w:val="both"/>
            </w:pPr>
            <w:r>
              <w:rPr>
                <w:rFonts w:ascii="Times New Roman"/>
                <w:b w:val="false"/>
                <w:i w:val="false"/>
                <w:color w:val="000000"/>
                <w:sz w:val="20"/>
              </w:rPr>
              <w:t>
Kazakhstan</w:t>
            </w:r>
          </w:p>
          <w:p>
            <w:pPr>
              <w:spacing w:after="20"/>
              <w:ind w:left="20"/>
              <w:jc w:val="both"/>
            </w:pPr>
            <w:r>
              <w:rPr>
                <w:rFonts w:ascii="Times New Roman"/>
                <w:b w:val="false"/>
                <w:i w:val="false"/>
                <w:color w:val="000000"/>
                <w:sz w:val="20"/>
              </w:rPr>
              <w:t>
Tel.: (+7172)</w:t>
            </w:r>
          </w:p>
          <w:p>
            <w:pPr>
              <w:spacing w:after="20"/>
              <w:ind w:left="20"/>
              <w:jc w:val="both"/>
            </w:pPr>
            <w:r>
              <w:rPr>
                <w:rFonts w:ascii="Times New Roman"/>
                <w:b w:val="false"/>
                <w:i w:val="false"/>
                <w:color w:val="000000"/>
                <w:sz w:val="20"/>
              </w:rPr>
              <w:t>
74______ Fax:(+7172) 74_______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Import</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p>
            <w:pPr>
              <w:spacing w:after="20"/>
              <w:ind w:left="20"/>
              <w:jc w:val="both"/>
            </w:pPr>
            <w:r>
              <w:rPr>
                <w:rFonts w:ascii="Times New Roman"/>
                <w:b w:val="false"/>
                <w:i w:val="false"/>
                <w:color w:val="000000"/>
                <w:sz w:val="20"/>
              </w:rPr>
              <w:t>
Reexport</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Other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p>
          <w:p>
            <w:pPr>
              <w:spacing w:after="20"/>
              <w:ind w:left="20"/>
              <w:jc w:val="both"/>
            </w:pPr>
            <w:r>
              <w:rPr>
                <w:rFonts w:ascii="Times New Roman"/>
                <w:b w:val="false"/>
                <w:i w:val="false"/>
                <w:color w:val="000000"/>
                <w:sz w:val="20"/>
              </w:rPr>
              <w:t>
Exporter / Re-exporter: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Permit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Validuntil: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p>
            <w:pPr>
              <w:spacing w:after="20"/>
              <w:ind w:left="20"/>
              <w:jc w:val="both"/>
            </w:pPr>
            <w:r>
              <w:rPr>
                <w:rFonts w:ascii="Times New Roman"/>
                <w:b w:val="false"/>
                <w:i w:val="false"/>
                <w:color w:val="000000"/>
                <w:sz w:val="20"/>
              </w:rPr>
              <w:t>
Importer: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Special conditions: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p>
            <w:pPr>
              <w:spacing w:after="20"/>
              <w:ind w:left="20"/>
              <w:jc w:val="both"/>
            </w:pPr>
            <w:r>
              <w:rPr>
                <w:rFonts w:ascii="Times New Roman"/>
                <w:b w:val="false"/>
                <w:i w:val="false"/>
                <w:color w:val="000000"/>
                <w:sz w:val="20"/>
              </w:rPr>
              <w:t>
For live animals this permit is only valid if the transport conditions conform to the</w:t>
            </w:r>
          </w:p>
          <w:p>
            <w:pPr>
              <w:spacing w:after="20"/>
              <w:ind w:left="20"/>
              <w:jc w:val="both"/>
            </w:pPr>
            <w:r>
              <w:rPr>
                <w:rFonts w:ascii="Times New Roman"/>
                <w:b w:val="false"/>
                <w:i w:val="false"/>
                <w:color w:val="000000"/>
                <w:sz w:val="20"/>
              </w:rPr>
              <w:t>
CITES Guidelines for Transport of Live or, in the case of air transport, to the IATA</w:t>
            </w:r>
          </w:p>
          <w:p>
            <w:pPr>
              <w:spacing w:after="20"/>
              <w:ind w:left="20"/>
              <w:jc w:val="both"/>
            </w:pPr>
            <w:r>
              <w:rPr>
                <w:rFonts w:ascii="Times New Roman"/>
                <w:b w:val="false"/>
                <w:i w:val="false"/>
                <w:color w:val="000000"/>
                <w:sz w:val="20"/>
              </w:rPr>
              <w:t>
Live Animal Regulations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w:t>
            </w:r>
          </w:p>
          <w:p>
            <w:pPr>
              <w:spacing w:after="20"/>
              <w:ind w:left="20"/>
              <w:jc w:val="both"/>
            </w:pPr>
            <w:r>
              <w:rPr>
                <w:rFonts w:ascii="Times New Roman"/>
                <w:b w:val="false"/>
                <w:i w:val="false"/>
                <w:color w:val="000000"/>
                <w:sz w:val="20"/>
              </w:rPr>
              <w:t>
генетического ресурса</w:t>
            </w:r>
          </w:p>
          <w:p>
            <w:pPr>
              <w:spacing w:after="20"/>
              <w:ind w:left="20"/>
              <w:jc w:val="both"/>
            </w:pPr>
            <w:r>
              <w:rPr>
                <w:rFonts w:ascii="Times New Roman"/>
                <w:b w:val="false"/>
                <w:i w:val="false"/>
                <w:color w:val="000000"/>
                <w:sz w:val="20"/>
              </w:rPr>
              <w:t>
Russian and Latin name genetic resource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p>
          <w:p>
            <w:pPr>
              <w:spacing w:after="20"/>
              <w:ind w:left="20"/>
              <w:jc w:val="both"/>
            </w:pPr>
            <w:r>
              <w:rPr>
                <w:rFonts w:ascii="Times New Roman"/>
                <w:b w:val="false"/>
                <w:i w:val="false"/>
                <w:color w:val="000000"/>
                <w:sz w:val="20"/>
              </w:rPr>
              <w:t>
включая метки</w:t>
            </w:r>
          </w:p>
          <w:p>
            <w:pPr>
              <w:spacing w:after="20"/>
              <w:ind w:left="20"/>
              <w:jc w:val="both"/>
            </w:pPr>
            <w:r>
              <w:rPr>
                <w:rFonts w:ascii="Times New Roman"/>
                <w:b w:val="false"/>
                <w:i w:val="false"/>
                <w:color w:val="000000"/>
                <w:sz w:val="20"/>
              </w:rPr>
              <w:t>
Description of</w:t>
            </w:r>
          </w:p>
          <w:p>
            <w:pPr>
              <w:spacing w:after="20"/>
              <w:ind w:left="20"/>
              <w:jc w:val="both"/>
            </w:pPr>
            <w:r>
              <w:rPr>
                <w:rFonts w:ascii="Times New Roman"/>
                <w:b w:val="false"/>
                <w:i w:val="false"/>
                <w:color w:val="000000"/>
                <w:sz w:val="20"/>
              </w:rPr>
              <w:t>
specimens,</w:t>
            </w:r>
          </w:p>
          <w:p>
            <w:pPr>
              <w:spacing w:after="20"/>
              <w:ind w:left="20"/>
              <w:jc w:val="both"/>
            </w:pPr>
            <w:r>
              <w:rPr>
                <w:rFonts w:ascii="Times New Roman"/>
                <w:b w:val="false"/>
                <w:i w:val="false"/>
                <w:color w:val="000000"/>
                <w:sz w:val="20"/>
              </w:rPr>
              <w:t>
including</w:t>
            </w:r>
          </w:p>
          <w:p>
            <w:pPr>
              <w:spacing w:after="20"/>
              <w:ind w:left="20"/>
              <w:jc w:val="both"/>
            </w:pPr>
            <w:r>
              <w:rPr>
                <w:rFonts w:ascii="Times New Roman"/>
                <w:b w:val="false"/>
                <w:i w:val="false"/>
                <w:color w:val="000000"/>
                <w:sz w:val="20"/>
              </w:rPr>
              <w:t>
identifying marks</w:t>
            </w:r>
          </w:p>
          <w:p>
            <w:pPr>
              <w:spacing w:after="20"/>
              <w:ind w:left="20"/>
              <w:jc w:val="both"/>
            </w:pPr>
            <w:r>
              <w:rPr>
                <w:rFonts w:ascii="Times New Roman"/>
                <w:b w:val="false"/>
                <w:i w:val="false"/>
                <w:color w:val="000000"/>
                <w:sz w:val="20"/>
              </w:rPr>
              <w:t>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Appendix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Sourcе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Purposе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 или вес</w:t>
            </w:r>
          </w:p>
          <w:p>
            <w:pPr>
              <w:spacing w:after="20"/>
              <w:ind w:left="20"/>
              <w:jc w:val="both"/>
            </w:pPr>
            <w:r>
              <w:rPr>
                <w:rFonts w:ascii="Times New Roman"/>
                <w:b w:val="false"/>
                <w:i w:val="false"/>
                <w:color w:val="000000"/>
                <w:sz w:val="20"/>
              </w:rPr>
              <w:t>
Quantity: number of</w:t>
            </w:r>
          </w:p>
          <w:p>
            <w:pPr>
              <w:spacing w:after="20"/>
              <w:ind w:left="20"/>
              <w:jc w:val="both"/>
            </w:pPr>
            <w:r>
              <w:rPr>
                <w:rFonts w:ascii="Times New Roman"/>
                <w:b w:val="false"/>
                <w:i w:val="false"/>
                <w:color w:val="000000"/>
                <w:sz w:val="20"/>
              </w:rPr>
              <w:t>
specimens or weight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Permit № and date</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Country of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Permit № and date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p>
          <w:p>
            <w:pPr>
              <w:spacing w:after="20"/>
              <w:ind w:left="20"/>
              <w:jc w:val="both"/>
            </w:pPr>
            <w:r>
              <w:rPr>
                <w:rFonts w:ascii="Times New Roman"/>
                <w:b w:val="false"/>
                <w:i w:val="false"/>
                <w:color w:val="000000"/>
                <w:sz w:val="20"/>
              </w:rPr>
              <w:t>
This permit was issuedon: 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Дата / Date Защитная марка, подпись и печать</w:t>
            </w:r>
          </w:p>
          <w:p>
            <w:pPr>
              <w:spacing w:after="20"/>
              <w:ind w:left="20"/>
              <w:jc w:val="both"/>
            </w:pPr>
            <w:r>
              <w:rPr>
                <w:rFonts w:ascii="Times New Roman"/>
                <w:b w:val="false"/>
                <w:i w:val="false"/>
                <w:color w:val="000000"/>
                <w:sz w:val="20"/>
              </w:rPr>
              <w:t>
Казахстан / Kazakhstan Security stamp, signature and official seal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w:t>
            </w:r>
          </w:p>
          <w:p>
            <w:pPr>
              <w:spacing w:after="20"/>
              <w:ind w:left="20"/>
              <w:jc w:val="both"/>
            </w:pPr>
            <w:r>
              <w:rPr>
                <w:rFonts w:ascii="Times New Roman"/>
                <w:b w:val="false"/>
                <w:i w:val="false"/>
                <w:color w:val="000000"/>
                <w:sz w:val="20"/>
              </w:rPr>
              <w:t>
пересечения таможенной</w:t>
            </w:r>
          </w:p>
          <w:p>
            <w:pPr>
              <w:spacing w:after="20"/>
              <w:ind w:left="20"/>
              <w:jc w:val="both"/>
            </w:pPr>
            <w:r>
              <w:rPr>
                <w:rFonts w:ascii="Times New Roman"/>
                <w:b w:val="false"/>
                <w:i w:val="false"/>
                <w:color w:val="000000"/>
                <w:sz w:val="20"/>
              </w:rPr>
              <w:t>
границы Республики Казахстан</w:t>
            </w:r>
          </w:p>
          <w:p>
            <w:pPr>
              <w:spacing w:after="20"/>
              <w:ind w:left="20"/>
              <w:jc w:val="both"/>
            </w:pPr>
            <w:r>
              <w:rPr>
                <w:rFonts w:ascii="Times New Roman"/>
                <w:b w:val="false"/>
                <w:i w:val="false"/>
                <w:color w:val="000000"/>
                <w:sz w:val="20"/>
              </w:rPr>
              <w:t>
Пункт пропуска:</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должностного лица и</w:t>
            </w:r>
          </w:p>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коносамента/авианакладной:</w:t>
            </w:r>
          </w:p>
          <w:p>
            <w:pPr>
              <w:spacing w:after="20"/>
              <w:ind w:left="20"/>
              <w:jc w:val="both"/>
            </w:pPr>
            <w:r>
              <w:rPr>
                <w:rFonts w:ascii="Times New Roman"/>
                <w:b w:val="false"/>
                <w:i w:val="false"/>
                <w:color w:val="000000"/>
                <w:sz w:val="20"/>
              </w:rPr>
              <w:t>
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