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d728" w14:textId="bb4d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 ақпандағы № 46 және Қазақстан Республикасы Ұлттық экономика министрінің 2023 жылғы 2 ақпандағы № 15 бірлескен бұйрығы. Қазақстан Республикасының Әділет министрлігінде 2023 жылғы 4 ақпанда № 31843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Тұқым шаруашылығы саласындағы тәуекелдер дәрежесін бағалау өлшемшарттары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тұқым шаруашылығы саласындағы тәуекелдер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тұқым шаруашылығы саласындағы бақылау субъектілерін тәуекел дәрежелеріне жатқызу үшін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0"/>
    <w:bookmarkStart w:name="z13"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бақылау субъектілері (объектілері) – бірегей тұқым өндірушілер, элиталық-тұқым өсіру шаруашылықтары, тұқым өсіру шаруашылықтары, тұқым сапасын сараптау жөніндегі зертханалар, тұқымдарды тұтынушылар (тұқымдарды сату құқығынсыз үй жанындағы, бау-бақ, саяжай және бақша учаскелерінде пайдалану үшін тұқым өндірумен шұғылданатын жеке адамдарды қоспағанда), тұқым өткізушілер; </w:t>
      </w:r>
    </w:p>
    <w:bookmarkEnd w:id="12"/>
    <w:bookmarkStart w:name="z15" w:id="13"/>
    <w:p>
      <w:pPr>
        <w:spacing w:after="0"/>
        <w:ind w:left="0"/>
        <w:jc w:val="both"/>
      </w:pPr>
      <w:r>
        <w:rPr>
          <w:rFonts w:ascii="Times New Roman"/>
          <w:b w:val="false"/>
          <w:i w:val="false"/>
          <w:color w:val="000000"/>
          <w:sz w:val="28"/>
        </w:rPr>
        <w:t>
      2) болмашы бұзушылық – тұқым шаруашылығы саласындағы құжаттаманы дұрыс жүргізбеу бөлігінде тұқым шаруашылығы саласындағы нормативтік құқықтық актілерде белгіленген талаптарды бұзу;</w:t>
      </w:r>
    </w:p>
    <w:bookmarkEnd w:id="13"/>
    <w:bookmarkStart w:name="z16" w:id="14"/>
    <w:p>
      <w:pPr>
        <w:spacing w:after="0"/>
        <w:ind w:left="0"/>
        <w:jc w:val="both"/>
      </w:pPr>
      <w:r>
        <w:rPr>
          <w:rFonts w:ascii="Times New Roman"/>
          <w:b w:val="false"/>
          <w:i w:val="false"/>
          <w:color w:val="000000"/>
          <w:sz w:val="28"/>
        </w:rPr>
        <w:t>
      3) елеулі бұзушылық – егістіктің, игерілген тұқым шаруашылығы ауыспалы егістерінің, сұрыптық агротехниканың, білікті мамандарының, бастапқы тұқымдық материалының болуы, тұқым шаруашылығы бойынша есепке алу материалдарының сақталуын қамтамасыз ету, егiстердi (отырғызылған екпелердi), аумақтарды, тұқым тазалағыш машиналар мен механизмдердi, қоймаларды карантиндiк объектiлердiң анықталуы және олармен күресу жөніндегі іс-шаралардың жүргізілуіне жүйелі түрде зерттеп-қарау жүргізу, орташа сынамаларды сақтау, тұқымның сапасы туралы құжаттарды ресімдеу, Қазақстан Республикасының тұқым шаруашылығы туралы заңнамасының талаптарына сұрыпттық және егу сапасы бойынша сәйкес келетін тұқымдарды егу үшін пайдалану, лицензиялық шарттың болуы, сондай-ақ есептілік ұсынудың мерзімдері мен толықтығын сақтау жөніндегі тұқым шаруашылығы саласындағы нормативтік құқықтық актілерде белгіленген талаптарды бұзу;</w:t>
      </w:r>
    </w:p>
    <w:bookmarkEnd w:id="14"/>
    <w:bookmarkStart w:name="z17" w:id="15"/>
    <w:p>
      <w:pPr>
        <w:spacing w:after="0"/>
        <w:ind w:left="0"/>
        <w:jc w:val="both"/>
      </w:pPr>
      <w:r>
        <w:rPr>
          <w:rFonts w:ascii="Times New Roman"/>
          <w:b w:val="false"/>
          <w:i w:val="false"/>
          <w:color w:val="000000"/>
          <w:sz w:val="28"/>
        </w:rPr>
        <w:t xml:space="preserve">
      4) өрескел бұзушылық – Қазақстан Республикасының тұқым шаруашылығы саласындағы заңнамасында белгіленген, "Әкімшілік құқық бұзушылық туралы" Қазақстан Республикасы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әкімшілік жауапкершілікке әкеліп соқтыратын талаптарды бұзу, материалдық-техникалық жарақтандыру, байқаудан өткiзу, сынамаларды iрiктеп алу, тұқым сапасына сараптама жүргізген кезде тұқым шаруашылығы саласындағы стандарттарды сақтау жөніндегі талаптарды сақтамау, шағымдар мен арыздардың болуы, гендік инженерия (генетикалық түрлендірілген) негізінде алынған ауыл шаруашылығы өсімдіктерінің тұқымдарын себу (отырғызу) үшін пайдалану, карантиндік объектілермен залалданған ауыл шаруашылығы өсімдіктерінің тұқымдарын себу (отырғызу) үшін пайдалану, субсидияланған тұқымдарды мақсатсыз пайдалану.</w:t>
      </w:r>
    </w:p>
    <w:bookmarkEnd w:id="15"/>
    <w:bookmarkStart w:name="z18" w:id="16"/>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жатқызады:</w:t>
      </w:r>
    </w:p>
    <w:bookmarkEnd w:id="16"/>
    <w:bookmarkStart w:name="z19" w:id="17"/>
    <w:p>
      <w:pPr>
        <w:spacing w:after="0"/>
        <w:ind w:left="0"/>
        <w:jc w:val="both"/>
      </w:pPr>
      <w:r>
        <w:rPr>
          <w:rFonts w:ascii="Times New Roman"/>
          <w:b w:val="false"/>
          <w:i w:val="false"/>
          <w:color w:val="000000"/>
          <w:sz w:val="28"/>
        </w:rPr>
        <w:t>
      1) жоғары тәуекел;</w:t>
      </w:r>
    </w:p>
    <w:bookmarkEnd w:id="17"/>
    <w:bookmarkStart w:name="z20" w:id="18"/>
    <w:p>
      <w:pPr>
        <w:spacing w:after="0"/>
        <w:ind w:left="0"/>
        <w:jc w:val="both"/>
      </w:pPr>
      <w:r>
        <w:rPr>
          <w:rFonts w:ascii="Times New Roman"/>
          <w:b w:val="false"/>
          <w:i w:val="false"/>
          <w:color w:val="000000"/>
          <w:sz w:val="28"/>
        </w:rPr>
        <w:t>
      2) орташа тәуекел;</w:t>
      </w:r>
    </w:p>
    <w:bookmarkEnd w:id="18"/>
    <w:bookmarkStart w:name="z21" w:id="19"/>
    <w:p>
      <w:pPr>
        <w:spacing w:after="0"/>
        <w:ind w:left="0"/>
        <w:jc w:val="both"/>
      </w:pPr>
      <w:r>
        <w:rPr>
          <w:rFonts w:ascii="Times New Roman"/>
          <w:b w:val="false"/>
          <w:i w:val="false"/>
          <w:color w:val="000000"/>
          <w:sz w:val="28"/>
        </w:rPr>
        <w:t>
      3) төмен тәуекел.</w:t>
      </w:r>
    </w:p>
    <w:bookmarkEnd w:id="19"/>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бақылау субъектісіне (объектісіне) бармай профилактикалық бақылау және жоспардан тыс тексеру жүргізіледі.</w:t>
      </w:r>
    </w:p>
    <w:bookmarkStart w:name="z22" w:id="20"/>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0"/>
    <w:bookmarkStart w:name="z23" w:id="21"/>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1"/>
    <w:bookmarkStart w:name="z24" w:id="22"/>
    <w:p>
      <w:pPr>
        <w:spacing w:after="0"/>
        <w:ind w:left="0"/>
        <w:jc w:val="left"/>
      </w:pPr>
      <w:r>
        <w:rPr>
          <w:rFonts w:ascii="Times New Roman"/>
          <w:b/>
          <w:i w:val="false"/>
          <w:color w:val="000000"/>
        </w:rPr>
        <w:t xml:space="preserve"> 1-параграф. Объективті өлшемшарттар</w:t>
      </w:r>
    </w:p>
    <w:bookmarkEnd w:id="22"/>
    <w:bookmarkStart w:name="z25" w:id="23"/>
    <w:p>
      <w:pPr>
        <w:spacing w:after="0"/>
        <w:ind w:left="0"/>
        <w:jc w:val="both"/>
      </w:pPr>
      <w:r>
        <w:rPr>
          <w:rFonts w:ascii="Times New Roman"/>
          <w:b w:val="false"/>
          <w:i w:val="false"/>
          <w:color w:val="000000"/>
          <w:sz w:val="28"/>
        </w:rPr>
        <w:t>
      5. Объективті өлшемшарттар бойынша тәуекелдің жоғары дәрежесі бақылау субъектілеріне (объектілеріне) бірегей тұқым өндірушілер, элиталық тұқым өсіру шаруашылықтары, тұқым өсіру шаруашылықтары және тұқымның сапасын сараптау жөнiндегi зертханалар жатады.</w:t>
      </w:r>
    </w:p>
    <w:bookmarkEnd w:id="23"/>
    <w:bookmarkStart w:name="z26" w:id="24"/>
    <w:p>
      <w:pPr>
        <w:spacing w:after="0"/>
        <w:ind w:left="0"/>
        <w:jc w:val="both"/>
      </w:pPr>
      <w:r>
        <w:rPr>
          <w:rFonts w:ascii="Times New Roman"/>
          <w:b w:val="false"/>
          <w:i w:val="false"/>
          <w:color w:val="000000"/>
          <w:sz w:val="28"/>
        </w:rPr>
        <w:t>
      6. Объективті өлшемшарттар бойынша тәуекелдің орташа дәрежесі бақылау субъектілеріне (объектілеріне) тұқымдарды тұтынушылар (тұқымдарды сату құқығынсыз үй жанындағы, бау-бақ, саяжай және бақша учаскелерiнде пайдалану үшiн тұқым өндiрумен шұғылданатан жеке адамдарды қоспағанда) жатады.</w:t>
      </w:r>
    </w:p>
    <w:bookmarkEnd w:id="24"/>
    <w:bookmarkStart w:name="z27" w:id="25"/>
    <w:p>
      <w:pPr>
        <w:spacing w:after="0"/>
        <w:ind w:left="0"/>
        <w:jc w:val="both"/>
      </w:pPr>
      <w:r>
        <w:rPr>
          <w:rFonts w:ascii="Times New Roman"/>
          <w:b w:val="false"/>
          <w:i w:val="false"/>
          <w:color w:val="000000"/>
          <w:sz w:val="28"/>
        </w:rPr>
        <w:t>
      7. Объективті өлшемшарттар бойынша тәуекелдің төмен дәрежесі бақылау субъектілеріне (объектілеріне) тұқым өткізушілер жатады.</w:t>
      </w:r>
    </w:p>
    <w:bookmarkEnd w:id="25"/>
    <w:bookmarkStart w:name="z28" w:id="26"/>
    <w:p>
      <w:pPr>
        <w:spacing w:after="0"/>
        <w:ind w:left="0"/>
        <w:jc w:val="left"/>
      </w:pPr>
      <w:r>
        <w:rPr>
          <w:rFonts w:ascii="Times New Roman"/>
          <w:b/>
          <w:i w:val="false"/>
          <w:color w:val="000000"/>
        </w:rPr>
        <w:t xml:space="preserve"> 2-параграф. Субъективті өлшемшарттар</w:t>
      </w:r>
    </w:p>
    <w:bookmarkEnd w:id="26"/>
    <w:bookmarkStart w:name="z29" w:id="2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27"/>
    <w:bookmarkStart w:name="z30" w:id="28"/>
    <w:p>
      <w:pPr>
        <w:spacing w:after="0"/>
        <w:ind w:left="0"/>
        <w:jc w:val="both"/>
      </w:pPr>
      <w:r>
        <w:rPr>
          <w:rFonts w:ascii="Times New Roman"/>
          <w:b w:val="false"/>
          <w:i w:val="false"/>
          <w:color w:val="000000"/>
          <w:sz w:val="28"/>
        </w:rPr>
        <w:t>
      1) дерекқорды қалыптастыру және ақпарат жинау;</w:t>
      </w:r>
    </w:p>
    <w:bookmarkEnd w:id="28"/>
    <w:bookmarkStart w:name="z31" w:id="29"/>
    <w:p>
      <w:pPr>
        <w:spacing w:after="0"/>
        <w:ind w:left="0"/>
        <w:jc w:val="both"/>
      </w:pPr>
      <w:r>
        <w:rPr>
          <w:rFonts w:ascii="Times New Roman"/>
          <w:b w:val="false"/>
          <w:i w:val="false"/>
          <w:color w:val="000000"/>
          <w:sz w:val="28"/>
        </w:rPr>
        <w:t>
      2) ақпаратты талдау және тәуекелдерді бағалау.</w:t>
      </w:r>
    </w:p>
    <w:bookmarkEnd w:id="29"/>
    <w:bookmarkStart w:name="z32" w:id="30"/>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заңнамасын бұзатын бақылау субъектілерін (объектілерін) анықтау үшін қажет.</w:t>
      </w:r>
    </w:p>
    <w:bookmarkEnd w:id="30"/>
    <w:bookmarkStart w:name="z33" w:id="31"/>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31"/>
    <w:bookmarkStart w:name="z34" w:id="32"/>
    <w:p>
      <w:pPr>
        <w:spacing w:after="0"/>
        <w:ind w:left="0"/>
        <w:jc w:val="both"/>
      </w:pPr>
      <w:r>
        <w:rPr>
          <w:rFonts w:ascii="Times New Roman"/>
          <w:b w:val="false"/>
          <w:i w:val="false"/>
          <w:color w:val="000000"/>
          <w:sz w:val="28"/>
        </w:rPr>
        <w:t>
      1) бақылау субъектілеріне (объектілеріне) бара отырып алдыңғы тексерулер мен профилактикалық бақылау нәтижелері;</w:t>
      </w:r>
    </w:p>
    <w:bookmarkEnd w:id="32"/>
    <w:bookmarkStart w:name="z35" w:id="33"/>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33"/>
    <w:bookmarkStart w:name="z36" w:id="34"/>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4"/>
    <w:bookmarkStart w:name="z37" w:id="35"/>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негізінде субъективті өлшемшарттар бұзушылықтың үш дәрежесіне бөлінеді: өрескел, елеулі және болмашы.</w:t>
      </w:r>
    </w:p>
    <w:bookmarkEnd w:id="35"/>
    <w:bookmarkStart w:name="z38" w:id="36"/>
    <w:p>
      <w:pPr>
        <w:spacing w:after="0"/>
        <w:ind w:left="0"/>
        <w:jc w:val="both"/>
      </w:pPr>
      <w:r>
        <w:rPr>
          <w:rFonts w:ascii="Times New Roman"/>
          <w:b w:val="false"/>
          <w:i w:val="false"/>
          <w:color w:val="000000"/>
          <w:sz w:val="28"/>
        </w:rPr>
        <w:t>
      11. Тәуекел дәрежесін бағалау үшін осы Өлшемшарттарға қосымшаға сәйкес тұқым шаруашылығы саласындағы тәуекел дәрежесін бағалаудың субъективті өлшемшарттары пайдаланылады.</w:t>
      </w:r>
    </w:p>
    <w:bookmarkEnd w:id="36"/>
    <w:bookmarkStart w:name="z39" w:id="37"/>
    <w:p>
      <w:pPr>
        <w:spacing w:after="0"/>
        <w:ind w:left="0"/>
        <w:jc w:val="both"/>
      </w:pPr>
      <w:r>
        <w:rPr>
          <w:rFonts w:ascii="Times New Roman"/>
          <w:b w:val="false"/>
          <w:i w:val="false"/>
          <w:color w:val="000000"/>
          <w:sz w:val="28"/>
        </w:rPr>
        <w:t xml:space="preserve">
      12.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37"/>
    <w:bookmarkStart w:name="z40" w:id="3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38"/>
    <w:bookmarkStart w:name="z41" w:id="3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9"/>
    <w:bookmarkStart w:name="z42" w:id="4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0"/>
    <w:bookmarkStart w:name="z43" w:id="41"/>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1"/>
    <w:bookmarkStart w:name="z44" w:id="42"/>
    <w:p>
      <w:pPr>
        <w:spacing w:after="0"/>
        <w:ind w:left="0"/>
        <w:jc w:val="left"/>
      </w:pPr>
      <w:r>
        <w:rPr>
          <w:rFonts w:ascii="Times New Roman"/>
          <w:b/>
          <w:i w:val="false"/>
          <w:color w:val="000000"/>
        </w:rPr>
        <w:t xml:space="preserve"> 3-параграф. Тәуекелдерді басқару</w:t>
      </w:r>
    </w:p>
    <w:bookmarkEnd w:id="42"/>
    <w:bookmarkStart w:name="z45" w:id="43"/>
    <w:p>
      <w:pPr>
        <w:spacing w:after="0"/>
        <w:ind w:left="0"/>
        <w:jc w:val="both"/>
      </w:pPr>
      <w:r>
        <w:rPr>
          <w:rFonts w:ascii="Times New Roman"/>
          <w:b w:val="false"/>
          <w:i w:val="false"/>
          <w:color w:val="000000"/>
          <w:sz w:val="28"/>
        </w:rPr>
        <w:t>
      13.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18-тармағында айқындалатын кезеңге бақылау субъектісіне (объектісіне) бара отырып профилактикалық бақылау жүргізуден босатылады.</w:t>
      </w:r>
    </w:p>
    <w:bookmarkEnd w:id="43"/>
    <w:bookmarkStart w:name="z46" w:id="44"/>
    <w:p>
      <w:pPr>
        <w:spacing w:after="0"/>
        <w:ind w:left="0"/>
        <w:jc w:val="both"/>
      </w:pPr>
      <w:r>
        <w:rPr>
          <w:rFonts w:ascii="Times New Roman"/>
          <w:b w:val="false"/>
          <w:i w:val="false"/>
          <w:color w:val="000000"/>
          <w:sz w:val="28"/>
        </w:rPr>
        <w:t xml:space="preserve">
      14. Бақылау субъектілері (объектілері) ақпараттық жүйені қолдана отырып, тұқым шаруашылығы саласындағы жоғары тәуекел дәрежесінен орташа тәуекел дәрежесіне немесе орташа тәуекел дәрежесінен төмен тәуекел дәрежесіне мынадай жағдайларда,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болса ауыстырылады. </w:t>
      </w:r>
    </w:p>
    <w:bookmarkEnd w:id="44"/>
    <w:bookmarkStart w:name="z47" w:id="45"/>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тұқым шаруашылығы саласындағы осындай бақылау субъектілерінің жалпы санының бес пайызынан аспауы тиіс.</w:t>
      </w:r>
    </w:p>
    <w:bookmarkStart w:name="z48" w:id="4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6"/>
    <w:bookmarkStart w:name="z49" w:id="47"/>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47"/>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аталған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мұнда:</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талап етілетін елеулі бұзушылықтар саны;</w:t>
      </w: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елеулі бұзушылықтар саны.</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 және аталған көрсеткіш мынадай формула бойынша есептеледі: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талап етілетін болмашы бұзушылықтар саны;</w:t>
      </w: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болмашы бұзушылықтар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(Р) 0-ден 100-ге дейінгі шәкіл бойынша есептеледі және мынадай формула бойынша елеулі және болмашы бұзушылықтардың көрсеткіштерін қосу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көрсеткіштің алынған мәні осы Өлшемшарттардың 12-тармағына сәйкес бақылау субъектісін (объектісін) белгілі бір тәуекел дәрежесіне жатқызу үшін негіз болып табылады.</w:t>
      </w:r>
    </w:p>
    <w:bookmarkStart w:name="z52" w:id="50"/>
    <w:p>
      <w:pPr>
        <w:spacing w:after="0"/>
        <w:ind w:left="0"/>
        <w:jc w:val="left"/>
      </w:pPr>
      <w:r>
        <w:rPr>
          <w:rFonts w:ascii="Times New Roman"/>
          <w:b/>
          <w:i w:val="false"/>
          <w:color w:val="000000"/>
        </w:rPr>
        <w:t xml:space="preserve"> 4-тарау. Қорытынды ережелер</w:t>
      </w:r>
    </w:p>
    <w:bookmarkEnd w:id="50"/>
    <w:bookmarkStart w:name="z53" w:id="51"/>
    <w:p>
      <w:pPr>
        <w:spacing w:after="0"/>
        <w:ind w:left="0"/>
        <w:jc w:val="both"/>
      </w:pPr>
      <w:r>
        <w:rPr>
          <w:rFonts w:ascii="Times New Roman"/>
          <w:b w:val="false"/>
          <w:i w:val="false"/>
          <w:color w:val="000000"/>
          <w:sz w:val="28"/>
        </w:rPr>
        <w:t xml:space="preserve">
      17.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деректеріне Қазақстан Республикасы Азаматтық кодексінің 178-бабы </w:t>
      </w:r>
      <w:r>
        <w:rPr>
          <w:rFonts w:ascii="Times New Roman"/>
          <w:b w:val="false"/>
          <w:i w:val="false"/>
          <w:color w:val="000000"/>
          <w:sz w:val="28"/>
        </w:rPr>
        <w:t>1-тармағынына</w:t>
      </w:r>
      <w:r>
        <w:rPr>
          <w:rFonts w:ascii="Times New Roman"/>
          <w:b w:val="false"/>
          <w:i w:val="false"/>
          <w:color w:val="000000"/>
          <w:sz w:val="28"/>
        </w:rPr>
        <w:t xml:space="preserve"> сәйкес талап қою мерзімі өткен деректер қолданылмайды.</w:t>
      </w:r>
    </w:p>
    <w:bookmarkEnd w:id="51"/>
    <w:p>
      <w:pPr>
        <w:spacing w:after="0"/>
        <w:ind w:left="0"/>
        <w:jc w:val="both"/>
      </w:pPr>
      <w:r>
        <w:rPr>
          <w:rFonts w:ascii="Times New Roman"/>
          <w:b w:val="false"/>
          <w:i w:val="false"/>
          <w:color w:val="000000"/>
          <w:sz w:val="28"/>
        </w:rPr>
        <w:t>
      Бара отырып жүргізілген алдыңғы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54" w:id="52"/>
    <w:p>
      <w:pPr>
        <w:spacing w:after="0"/>
        <w:ind w:left="0"/>
        <w:jc w:val="both"/>
      </w:pPr>
      <w:r>
        <w:rPr>
          <w:rFonts w:ascii="Times New Roman"/>
          <w:b w:val="false"/>
          <w:i w:val="false"/>
          <w:color w:val="000000"/>
          <w:sz w:val="28"/>
        </w:rPr>
        <w:t>
      18. Бақылау субъектісіне бара отырып профилактикалық бақылау жүргізудің еселігі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 болмау керек.</w:t>
      </w:r>
    </w:p>
    <w:bookmarkEnd w:id="52"/>
    <w:bookmarkStart w:name="z55" w:id="53"/>
    <w:p>
      <w:pPr>
        <w:spacing w:after="0"/>
        <w:ind w:left="0"/>
        <w:jc w:val="both"/>
      </w:pPr>
      <w:r>
        <w:rPr>
          <w:rFonts w:ascii="Times New Roman"/>
          <w:b w:val="false"/>
          <w:i w:val="false"/>
          <w:color w:val="000000"/>
          <w:sz w:val="28"/>
        </w:rPr>
        <w:t xml:space="preserve">
      19.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қалыптасатын бақылау субъектісіне (объектісіне) бара отырып профилактикалық бақылаудың жартыжылдық тізімдері негізінде жүргізіледі.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7" w:id="54"/>
    <w:p>
      <w:pPr>
        <w:spacing w:after="0"/>
        <w:ind w:left="0"/>
        <w:jc w:val="left"/>
      </w:pPr>
      <w:r>
        <w:rPr>
          <w:rFonts w:ascii="Times New Roman"/>
          <w:b/>
          <w:i w:val="false"/>
          <w:color w:val="000000"/>
        </w:rPr>
        <w:t xml:space="preserve"> Тұқым шаруашылығы саласындағы тәуекел дәрежесін бағалаудың субъективті өлшемшарттары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алдыңғы тексерулер мен профилактикалық бақылау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пайызынан кем емес тұқым шаруашылығы егістерінің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(бастапқы тұқым шаруашылығы) бойынша кемінде бес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бірегей тұқым өндірушінің аумағында және аттестаттау сәтіне дейін кемінде үш жыл кезеңінде карантиндік объектілердің болмауын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агрономның және әр дақыл бойынша маманның, сондай-ақ дақыл мен сұрыптың тұқым щаруашылығы бойынша жұмысының айрықша әдістерін меңгерген кемінде үш техникалық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сұрыптың биологиялық белгілері мен қасиеттерін ескеретін схемаларға қатаң сәйкестікте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тұқымдар өндірісін қамтамасыз ету мақсатында бірегей тұқымның жоспарланған мөлшерін өндіру үшін қажетті ассортиментте және көлемде сұрыптың тұқымдық материалының (жеміс, жидек дақылдарының және жүзімнің көшетін өндірушілер үшін аналық екпе ағаштардың)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сұрып белгілерінің ерекше сипаттамалары туралы мәліметтерді көрсететін сұрып жөніндегі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 мен жүзім көшеттерін өндірушілерге қолданылмайды) – орташа облыстық деңгейден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5-тен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 мен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Аудандастырылғандар тізбесіне енгізілген сұрыптардың тұқымдарын өсіру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аудандастырылған және перспективалы сұрыптардың бастапқы тұқымдық материалының (бірегей тұқымдардың)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аудандастырылған және (немесе) перспективалы сұрыптарын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элиталық тұқым өндірісін ғылыми сүйемелдеуге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бір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 мен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 мен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аудандастырылған және (немесе) перспективалы сұрыптардың элиталық тұқымдарын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репродукцияның сұрыптық тұқымын өсіру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сұрпы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өңдеу,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сұрыптарының мемлекеттік тізіліміне енгізілген ауыл шаруашылығы өсімдіктері сұрыптарының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берілген құжаттарды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құжаттарды ресімдеу: тұқымның кондициялығы туралы куәлiкті немесе тұқымды талдау нәтижесiн, тұқымдық картопқа – түйнектiк талдау актісi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қалған сынама бөліктерін ауданда осы дақылды себу аяқталғаннан кейiн (аудандық статистикалық есептілікке сәйкес) бiр ай бойы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сұрыптық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 элиталық тұқым өсіру шаруашылықтары,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ауыл шаруашылығы дақылдарының түрлері бойынша тұқымдардың егу сапасын зерттеу саны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сапасы мен тұқым сапасының сараптамасы бойынша бақылау субъектілеріне келіп түскен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55"/>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пайызынан кем емес тұқым шаруашылығы егістерінің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(бастапқы тұқым шаруашылығы) бойынша кемінде бес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бірегей тұқым өндірушінің аумағында және аттестаттау сәтіне дейін кемінде үш жыл кезеңінде карантиндік объектілердің болмауын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агрономның және әр дақыл бойынша маманның, сондай-ақ дақыл мен сұрыптың тұқым щаруашылығы бойынша жұмысының айрықша әдістерін меңгерген кемінде үш техникалық персоналдың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сұрыптың биологиялық белгілері мен қасиеттерін ескеретін схемаларға қатаң сәйкестікте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тұқымдар өндірісін қамтамасыз ету мақсатында бірегей тұқымның жоспарланған мөлшерін өндіру үшін қажетті ассортиментте және көлемде сұрыптың тұқымдық материалының (жеміс, жидек дақылдарының және жүзімнің көшетін өндірушілер үшін аналық екпе ағаштардың)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сұрып белгілерінің ерекше сипаттамалары туралы мәліметтерді көрсететін сұрып жөніндегі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 мен жүзім көшеттерін өндірушілерге қолданылмайды) – орташа облыстық деңгейден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5-тен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 мен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Аудандастырылғандар тізбесіне енгізілген сұрыптардың тұқымдарын өсіру схемаларының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аудандастырылған және перспективалы сұрыптардың бастапқы тұқымдық материалының (бірегей тұқымдардың)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аудандастырылған және (немесе) перспективалы сұрыптарын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элиталық тұқым өндірісін ғылыми сүйемелдеуге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Субсидияланған тұқымдарды мақсатты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62" w:id="56"/>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56"/>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кемінде бір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 мен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 мен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аудандастырылған және (немесе) перспективалы сұрыптардың элиталық тұқымдарын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репродукцияның сұрыптық тұқымын өсіру схемаларының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сұрпы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5-қосымша</w:t>
            </w:r>
          </w:p>
        </w:tc>
      </w:tr>
    </w:tbl>
    <w:bookmarkStart w:name="z64" w:id="57"/>
    <w:p>
      <w:pPr>
        <w:spacing w:after="0"/>
        <w:ind w:left="0"/>
        <w:jc w:val="left"/>
      </w:pPr>
      <w:r>
        <w:rPr>
          <w:rFonts w:ascii="Times New Roman"/>
          <w:b/>
          <w:i w:val="false"/>
          <w:color w:val="000000"/>
        </w:rPr>
        <w:t xml:space="preserve"> Тұқым өткізушілерге арналған тұқым шаруашылығы саласындағы тексеру парағы</w:t>
      </w:r>
    </w:p>
    <w:bookmarkEnd w:id="57"/>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өңдеу,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сұрыптарының мемлекеттік тізіліміне енгізілген ауыл шаруашылығы өсімдіктері сұрыптарының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6-қосымша</w:t>
            </w:r>
          </w:p>
        </w:tc>
      </w:tr>
    </w:tbl>
    <w:bookmarkStart w:name="z66" w:id="58"/>
    <w:p>
      <w:pPr>
        <w:spacing w:after="0"/>
        <w:ind w:left="0"/>
        <w:jc w:val="left"/>
      </w:pPr>
      <w:r>
        <w:rPr>
          <w:rFonts w:ascii="Times New Roman"/>
          <w:b/>
          <w:i w:val="false"/>
          <w:color w:val="000000"/>
        </w:rPr>
        <w:t xml:space="preserve"> Тұқым сапасын сараптау жөніндегі зертханаларға арналған тұқым шаруашылығы саласындағы тексеру парағы</w:t>
      </w:r>
    </w:p>
    <w:bookmarkEnd w:id="58"/>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берілген құжаттарды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құжаттарды ресімдеу: тұқымның кондициялығы туралы куәлiкті немесе тұқымды талдау нәтижесiн, тұқымдық картопқа – түйнектiк талдау актісi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қалған сынама бөліктерін ауданда осы дақылды себу аяқталғаннан кейiн (аудандық статистикалық есептілікке сәйкес) бiр ай бойы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7-қосымша</w:t>
            </w:r>
          </w:p>
        </w:tc>
      </w:tr>
    </w:tbl>
    <w:bookmarkStart w:name="z68" w:id="59"/>
    <w:p>
      <w:pPr>
        <w:spacing w:after="0"/>
        <w:ind w:left="0"/>
        <w:jc w:val="left"/>
      </w:pPr>
      <w:r>
        <w:rPr>
          <w:rFonts w:ascii="Times New Roman"/>
          <w:b/>
          <w:i w:val="false"/>
          <w:color w:val="000000"/>
        </w:rPr>
        <w:t xml:space="preserve"> Тұқым тұтынушыларға арналған (тұқымдарды өткізу құқығынсыз үй жанындағы, бау-бақша, саяжай және бақша учаскелерінде пайдалану үшін тұқым өндірумен айналысатын жеке тұлғаларды қоспағанда) тұқым шаруашылығы саласындағы тексеру парағы</w:t>
      </w:r>
    </w:p>
    <w:bookmarkEnd w:id="59"/>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сұрыптық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 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