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2360" w14:textId="fb32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20 қаңтардағы № 35-НҚ бұйрығы. Қазақстан Республикасының Әділет министрлігінде 2023 жылғы 20 қаңтарда № 31736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мынадай мазмұндағы реттік нөмірі 23-жолмен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Күнбағыс тұқымы, ұсақталған жән</w:t>
            </w:r>
            <w:r>
              <w:rPr>
                <w:rFonts w:ascii="Times New Roman"/>
                <w:b/>
                <w:i w:val="false"/>
                <w:color w:val="000000"/>
                <w:sz w:val="20"/>
              </w:rPr>
              <w:t>е ұсақталмаған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бірақ тоннасына</w:t>
            </w:r>
          </w:p>
          <w:p>
            <w:pPr>
              <w:spacing w:after="20"/>
              <w:ind w:left="20"/>
              <w:jc w:val="both"/>
            </w:pPr>
            <w:r>
              <w:rPr>
                <w:rFonts w:ascii="Times New Roman"/>
                <w:b w:val="false"/>
                <w:i w:val="false"/>
                <w:color w:val="000000"/>
                <w:sz w:val="20"/>
              </w:rPr>
              <w:t>
</w:t>
            </w:r>
            <w:r>
              <w:rPr>
                <w:rFonts w:ascii="Times New Roman"/>
                <w:b/>
                <w:i w:val="false"/>
                <w:color w:val="000000"/>
                <w:sz w:val="20"/>
              </w:rPr>
              <w:t>100 евродан</w:t>
            </w:r>
          </w:p>
          <w:p>
            <w:pPr>
              <w:spacing w:after="20"/>
              <w:ind w:left="20"/>
              <w:jc w:val="both"/>
            </w:pPr>
            <w:r>
              <w:rPr>
                <w:rFonts w:ascii="Times New Roman"/>
                <w:b w:val="false"/>
                <w:i w:val="false"/>
                <w:color w:val="000000"/>
                <w:sz w:val="20"/>
              </w:rPr>
              <w:t>
</w:t>
            </w:r>
            <w:r>
              <w:rPr>
                <w:rFonts w:ascii="Times New Roman"/>
                <w:b/>
                <w:i w:val="false"/>
                <w:color w:val="000000"/>
                <w:sz w:val="20"/>
              </w:rPr>
              <w:t>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5"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