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317e" w14:textId="b4d3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19 қаңтардағы № 29 бұйрығы. Қазақстан Республикасының Әділет министрлігінде 2023 жылғы 20 қаңтарда № 31731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аталған бұйрықпен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9)-тармақшасы мынадай редакцияда жазылсын: </w:t>
      </w:r>
    </w:p>
    <w:bookmarkStart w:name="z6" w:id="5"/>
    <w:p>
      <w:pPr>
        <w:spacing w:after="0"/>
        <w:ind w:left="0"/>
        <w:jc w:val="both"/>
      </w:pPr>
      <w:r>
        <w:rPr>
          <w:rFonts w:ascii="Times New Roman"/>
          <w:b w:val="false"/>
          <w:i w:val="false"/>
          <w:color w:val="000000"/>
          <w:sz w:val="28"/>
        </w:rPr>
        <w:t>
      "9) 0,07 МПа (0,7 кгс /см2) жоғары қысыммен Сығылған, сұйытылған және еріген газдарды тасымалдауға және сақтауға арналған баллондар;";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"53. Ыдыстарды жөндеу үшін қолданылатын материалдар ыдыстың берілген пайдалану жағдайларын (есептік қысым, ең төменгі теріс және ең жоғары есептік температура), қоршаған ортаның құрамы мен сипатын (коррозиялық белсенділік, жарылыс қаупі, уыттылығы және басқалар) және қоршаған ауа температурасының әсерін ескере отырып, есептік қызмет мерзімі ішінде жұмысын қамтамасыз етеді.</w:t>
      </w:r>
    </w:p>
    <w:bookmarkEnd w:id="6"/>
    <w:bookmarkStart w:name="z9" w:id="7"/>
    <w:p>
      <w:pPr>
        <w:spacing w:after="0"/>
        <w:ind w:left="0"/>
        <w:jc w:val="both"/>
      </w:pPr>
      <w:r>
        <w:rPr>
          <w:rFonts w:ascii="Times New Roman"/>
          <w:b w:val="false"/>
          <w:i w:val="false"/>
          <w:color w:val="000000"/>
          <w:sz w:val="28"/>
        </w:rPr>
        <w:t xml:space="preserve">
      54. Ыдыстарды, цистерналар мен бөшкелерді жөндеу үшін осы Қағидаларға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14-қосымшаларында</w:t>
      </w:r>
      <w:r>
        <w:rPr>
          <w:rFonts w:ascii="Times New Roman"/>
          <w:b w:val="false"/>
          <w:i w:val="false"/>
          <w:color w:val="000000"/>
          <w:sz w:val="28"/>
        </w:rPr>
        <w:t xml:space="preserve"> көрсетілген материалдар, ал баллондарды жөндеу үшін осы Қағидаларға 14-қосымшаның </w:t>
      </w:r>
      <w:r>
        <w:rPr>
          <w:rFonts w:ascii="Times New Roman"/>
          <w:b w:val="false"/>
          <w:i w:val="false"/>
          <w:color w:val="000000"/>
          <w:sz w:val="28"/>
        </w:rPr>
        <w:t>7-кестесінде</w:t>
      </w:r>
      <w:r>
        <w:rPr>
          <w:rFonts w:ascii="Times New Roman"/>
          <w:b w:val="false"/>
          <w:i w:val="false"/>
          <w:color w:val="000000"/>
          <w:sz w:val="28"/>
        </w:rPr>
        <w:t xml:space="preserve"> көрсетілген материалдар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радакцияда жазылсын:</w:t>
      </w:r>
    </w:p>
    <w:bookmarkStart w:name="z12" w:id="8"/>
    <w:p>
      <w:pPr>
        <w:spacing w:after="0"/>
        <w:ind w:left="0"/>
        <w:jc w:val="both"/>
      </w:pPr>
      <w:r>
        <w:rPr>
          <w:rFonts w:ascii="Times New Roman"/>
          <w:b w:val="false"/>
          <w:i w:val="false"/>
          <w:color w:val="000000"/>
          <w:sz w:val="28"/>
        </w:rPr>
        <w:t>
      "63. 10 МПа (100 кгс /см2) жоғары қысыммен жұмыс істейтін ыдыстарды жөндеуге арналған қалыңдығы 60 мм-ден асатын көміртекті және төмен легирленген табақты болат ультрадыбыстық немесе басқа да тең дефектоскопия әдісімен табақ бойынша бақылауға алынады.";</w:t>
      </w:r>
    </w:p>
    <w:bookmarkEnd w:id="8"/>
    <w:bookmarkStart w:name="z13" w:id="9"/>
    <w:p>
      <w:pPr>
        <w:spacing w:after="0"/>
        <w:ind w:left="0"/>
        <w:jc w:val="both"/>
      </w:pPr>
      <w:r>
        <w:rPr>
          <w:rFonts w:ascii="Times New Roman"/>
          <w:b w:val="false"/>
          <w:i w:val="false"/>
          <w:color w:val="000000"/>
          <w:sz w:val="28"/>
        </w:rPr>
        <w:t>
      64. 4 МПа (40 кгс/см2) жоғары қысыммен жұмыс істейтін ыдыстарды жөндеуге арналған қалыңдығы 25 мм-ден асатын биметалдық табақтар ультрадыбыстық дефектоскопиямен немесе басқа да баламалы әдіспен табақ бойынша бақылауға алынады.";</w:t>
      </w:r>
    </w:p>
    <w:bookmarkEnd w:id="9"/>
    <w:bookmarkStart w:name="z14" w:id="10"/>
    <w:p>
      <w:pPr>
        <w:spacing w:after="0"/>
        <w:ind w:left="0"/>
        <w:jc w:val="both"/>
      </w:pPr>
      <w:r>
        <w:rPr>
          <w:rFonts w:ascii="Times New Roman"/>
          <w:b w:val="false"/>
          <w:i w:val="false"/>
          <w:color w:val="000000"/>
          <w:sz w:val="28"/>
        </w:rPr>
        <w:t>
      65. Ыдыстарды жөндеу үшін қолданылатын бойлық немесе спираль тігісі бар электрлі дәнекерлеу құбырлары радиациялық, ультрадыбыстық немесе оларға тең басқа да дефектоскопияның бүкіл ұзындығы бойынша дәнекерлеу сапасын бақылауға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91-тармақтары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"172. Жөндеу немесе монтаждау процесінде табылған ақаулар түзетілген учаскелерді кейіннен бақылаумен жойылады. Ақауларды жою әдістері мен сапасы ыдыстың қажетті сенімділігі мен қауіпсіздігін қамтамасыз етуі керек.";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"297. Жөндеу жұмыстарын жүргізуге рұқсат Қазақстан Республикасы Еңбек және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 (Нормативтік құқықтық актілерді мемлекеттік тіркеу тізілімінде № 21151 болып тіркелген) (бұдан әрі – Қауіпі жоғары жағдайларда жұмыс жүргізу кезінде наряд-рұқсаттарды ресімдеу және оларды қолдану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"471. Қысыммен жұмыс істейтін қазандықтар мен олардың бөлшектерін монтаждау және жөндеу үшін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материалдар мен жартылай фабрикаттар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"475. Монтаждау және жөндеу алдында негізгі, дәнекерлеу материалдары мен жартылай фабрикаттарға кіріс бақылау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және </w:t>
      </w:r>
      <w:r>
        <w:rPr>
          <w:rFonts w:ascii="Times New Roman"/>
          <w:b w:val="false"/>
          <w:i w:val="false"/>
          <w:color w:val="000000"/>
          <w:sz w:val="28"/>
        </w:rPr>
        <w:t>493-тармақтары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және 496-тармақтары мынадай редакцияда жазылсын:</w:t>
      </w:r>
    </w:p>
    <w:bookmarkStart w:name="z28" w:id="15"/>
    <w:p>
      <w:pPr>
        <w:spacing w:after="0"/>
        <w:ind w:left="0"/>
        <w:jc w:val="both"/>
      </w:pPr>
      <w:r>
        <w:rPr>
          <w:rFonts w:ascii="Times New Roman"/>
          <w:b w:val="false"/>
          <w:i w:val="false"/>
          <w:color w:val="000000"/>
          <w:sz w:val="28"/>
        </w:rPr>
        <w:t xml:space="preserve">
      "495. Механикалық сипаттамаларды бақылау түрлерінің тізбесін жартылай фабрикатты дайындаушы сипаттамалардың нормаланған мәндеріне кепілдік берген жағдайда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көрсетілгенмен салыстырғанда қысқартуға жол беріледі.";</w:t>
      </w:r>
    </w:p>
    <w:bookmarkEnd w:id="15"/>
    <w:bookmarkStart w:name="z29" w:id="16"/>
    <w:p>
      <w:pPr>
        <w:spacing w:after="0"/>
        <w:ind w:left="0"/>
        <w:jc w:val="both"/>
      </w:pPr>
      <w:r>
        <w:rPr>
          <w:rFonts w:ascii="Times New Roman"/>
          <w:b w:val="false"/>
          <w:i w:val="false"/>
          <w:color w:val="000000"/>
          <w:sz w:val="28"/>
        </w:rPr>
        <w:t xml:space="preserve">
      496. Қазандықтарды жөндеу және монтаждау кезінде әртүрлі маркалы табақты болатты қолдану шегі, табаққа нормативтік-техникалық құжаттама, міндетті сынау және бақылау түрлері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19-параграфтары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және </w:t>
      </w:r>
      <w:r>
        <w:rPr>
          <w:rFonts w:ascii="Times New Roman"/>
          <w:b w:val="false"/>
          <w:i w:val="false"/>
          <w:color w:val="000000"/>
          <w:sz w:val="28"/>
        </w:rPr>
        <w:t>534-тармақтары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535. Жаңа материалдарды қолдану кезінде болаттың да, оның дәнекерленген қосылыстарының да тиісті қасиеттерін бағалау талаптарын кеңейту қажеттілігін тудыратын олардың жұмысының ерекше шарттары ескеріледі:</w:t>
      </w:r>
    </w:p>
    <w:bookmarkEnd w:id="17"/>
    <w:bookmarkStart w:name="z35" w:id="18"/>
    <w:p>
      <w:pPr>
        <w:spacing w:after="0"/>
        <w:ind w:left="0"/>
        <w:jc w:val="both"/>
      </w:pPr>
      <w:r>
        <w:rPr>
          <w:rFonts w:ascii="Times New Roman"/>
          <w:b w:val="false"/>
          <w:i w:val="false"/>
          <w:color w:val="000000"/>
          <w:sz w:val="28"/>
        </w:rPr>
        <w:t>
      1) теріс температурада жұмыс істеген жағдайда-суыққа төзімділікті бағалау;</w:t>
      </w:r>
    </w:p>
    <w:bookmarkEnd w:id="18"/>
    <w:bookmarkStart w:name="z36" w:id="19"/>
    <w:p>
      <w:pPr>
        <w:spacing w:after="0"/>
        <w:ind w:left="0"/>
        <w:jc w:val="both"/>
      </w:pPr>
      <w:r>
        <w:rPr>
          <w:rFonts w:ascii="Times New Roman"/>
          <w:b w:val="false"/>
          <w:i w:val="false"/>
          <w:color w:val="000000"/>
          <w:sz w:val="28"/>
        </w:rPr>
        <w:t>
      2) циклдік жүктемелер кезінде-циклдік беріктікті бағалау;</w:t>
      </w:r>
    </w:p>
    <w:bookmarkEnd w:id="19"/>
    <w:bookmarkStart w:name="z37" w:id="20"/>
    <w:p>
      <w:pPr>
        <w:spacing w:after="0"/>
        <w:ind w:left="0"/>
        <w:jc w:val="both"/>
      </w:pPr>
      <w:r>
        <w:rPr>
          <w:rFonts w:ascii="Times New Roman"/>
          <w:b w:val="false"/>
          <w:i w:val="false"/>
          <w:color w:val="000000"/>
          <w:sz w:val="28"/>
        </w:rPr>
        <w:t>
      3) ортаның белсенді әсері кезінде-коррозиялық-механикалық беріктігін бағалау және басқалар.";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және </w:t>
      </w:r>
      <w:r>
        <w:rPr>
          <w:rFonts w:ascii="Times New Roman"/>
          <w:b w:val="false"/>
          <w:i w:val="false"/>
          <w:color w:val="000000"/>
          <w:sz w:val="28"/>
        </w:rPr>
        <w:t>538-тармақтары</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"537. Аттестатталған ұйым болат қасиеттерінің белгіленген деңгейін сақтай отырып, сұрыптамада ұсынылған маркалы болаттан жасалған жартылай фабрикаттарды қолдану мүмкіндігін растайды.</w:t>
      </w:r>
    </w:p>
    <w:bookmarkEnd w:id="21"/>
    <w:bookmarkStart w:name="z40" w:id="22"/>
    <w:p>
      <w:pPr>
        <w:spacing w:after="0"/>
        <w:ind w:left="0"/>
        <w:jc w:val="both"/>
      </w:pPr>
      <w:r>
        <w:rPr>
          <w:rFonts w:ascii="Times New Roman"/>
          <w:b w:val="false"/>
          <w:i w:val="false"/>
          <w:color w:val="000000"/>
          <w:sz w:val="28"/>
        </w:rPr>
        <w:t>
      538. Қазандықтар мен олардың элементтерін монтаждау және жөндеу жұмыстарды сапалы орындау үшін қажетті техникалық құралдары бар оларды орындайтын ұйым (жөндеу немесе монтаждау ұйымы, ұйымның жөндеу қызметтері және басқа ұйымдар) жұмыс басталғанға дейін әзірлеген технология бойынша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"576. Монтаждау немесе жөндеу ұйымы жол берілмейтін ақауларды анықтауға, қазандықтардың жоғары сапасы мен сенімділігіне кепілдік беретін бақылау түрлері мен көлемін қолданады. Бұл ретте бақылау көлемі осы Қағидалардың талаптарына сәйкес 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"631. Контактілі дәнекерлеу арқылы орындалатын құбырлардың көлденең қосылыстарын бақылау кезінде әрбір ауысым үшін автоматтандырылған жұмыс циклі бар әрбір дәнекерлеу машинасында орындалған барлық бірдей өндірістік қосылыстар үшін кемінде екі бақылау қосылыстары сыналады.";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"655. Жоба гидравликалық қысымға ұшыраған элементтегі ақаулардың ең көп анықталуын қамтамасыз ететін көрсетілген шектерде сынақ қысымының мәнін таңдайды.";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684</w:t>
      </w:r>
      <w:r>
        <w:rPr>
          <w:rFonts w:ascii="Times New Roman"/>
          <w:b w:val="false"/>
          <w:i w:val="false"/>
          <w:color w:val="000000"/>
          <w:sz w:val="28"/>
        </w:rPr>
        <w:t xml:space="preserve">, </w:t>
      </w:r>
      <w:r>
        <w:rPr>
          <w:rFonts w:ascii="Times New Roman"/>
          <w:b w:val="false"/>
          <w:i w:val="false"/>
          <w:color w:val="000000"/>
          <w:sz w:val="28"/>
        </w:rPr>
        <w:t>685</w:t>
      </w:r>
      <w:r>
        <w:rPr>
          <w:rFonts w:ascii="Times New Roman"/>
          <w:b w:val="false"/>
          <w:i w:val="false"/>
          <w:color w:val="000000"/>
          <w:sz w:val="28"/>
        </w:rPr>
        <w:t xml:space="preserve">,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w:t>
      </w:r>
      <w:r>
        <w:rPr>
          <w:rFonts w:ascii="Times New Roman"/>
          <w:b w:val="false"/>
          <w:i w:val="false"/>
          <w:color w:val="000000"/>
          <w:sz w:val="28"/>
        </w:rPr>
        <w:t xml:space="preserve"> және </w:t>
      </w:r>
      <w:r>
        <w:rPr>
          <w:rFonts w:ascii="Times New Roman"/>
          <w:b w:val="false"/>
          <w:i w:val="false"/>
          <w:color w:val="000000"/>
          <w:sz w:val="28"/>
        </w:rPr>
        <w:t>763-тармақтары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"881. Жөндеу жұмыстарын жүргізуге рұқсат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895-тармақ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"895. Есепте тұрған қазандықтарды мерзімді техникалық куәландыруды аттестатталған ұйыммен бірлесіп қазандықтардың жарамды жай-күйі мен қауіпсіз пайдаланылуына жауапты тұлға ұйымдастырады және жүргізеді.";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1076-тармақ</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xml:space="preserve">
      "1076. Қысыммен жұмыс істейтін құбырларды және олардың бөлшектерін монтаждау және жөндеу үшін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 материалдар мен жартылай фабрикаттар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1081</w:t>
      </w:r>
      <w:r>
        <w:rPr>
          <w:rFonts w:ascii="Times New Roman"/>
          <w:b w:val="false"/>
          <w:i w:val="false"/>
          <w:color w:val="000000"/>
          <w:sz w:val="28"/>
        </w:rPr>
        <w:t xml:space="preserve">, </w:t>
      </w:r>
      <w:r>
        <w:rPr>
          <w:rFonts w:ascii="Times New Roman"/>
          <w:b w:val="false"/>
          <w:i w:val="false"/>
          <w:color w:val="000000"/>
          <w:sz w:val="28"/>
        </w:rPr>
        <w:t>1085</w:t>
      </w:r>
      <w:r>
        <w:rPr>
          <w:rFonts w:ascii="Times New Roman"/>
          <w:b w:val="false"/>
          <w:i w:val="false"/>
          <w:color w:val="000000"/>
          <w:sz w:val="28"/>
        </w:rPr>
        <w:t xml:space="preserve">, </w:t>
      </w:r>
      <w:r>
        <w:rPr>
          <w:rFonts w:ascii="Times New Roman"/>
          <w:b w:val="false"/>
          <w:i w:val="false"/>
          <w:color w:val="000000"/>
          <w:sz w:val="28"/>
        </w:rPr>
        <w:t>1086</w:t>
      </w:r>
      <w:r>
        <w:rPr>
          <w:rFonts w:ascii="Times New Roman"/>
          <w:b w:val="false"/>
          <w:i w:val="false"/>
          <w:color w:val="000000"/>
          <w:sz w:val="28"/>
        </w:rPr>
        <w:t xml:space="preserve">, </w:t>
      </w:r>
      <w:r>
        <w:rPr>
          <w:rFonts w:ascii="Times New Roman"/>
          <w:b w:val="false"/>
          <w:i w:val="false"/>
          <w:color w:val="000000"/>
          <w:sz w:val="28"/>
        </w:rPr>
        <w:t>1087</w:t>
      </w:r>
      <w:r>
        <w:rPr>
          <w:rFonts w:ascii="Times New Roman"/>
          <w:b w:val="false"/>
          <w:i w:val="false"/>
          <w:color w:val="000000"/>
          <w:sz w:val="28"/>
        </w:rPr>
        <w:t xml:space="preserve">, </w:t>
      </w:r>
      <w:r>
        <w:rPr>
          <w:rFonts w:ascii="Times New Roman"/>
          <w:b w:val="false"/>
          <w:i w:val="false"/>
          <w:color w:val="000000"/>
          <w:sz w:val="28"/>
        </w:rPr>
        <w:t>1088</w:t>
      </w:r>
      <w:r>
        <w:rPr>
          <w:rFonts w:ascii="Times New Roman"/>
          <w:b w:val="false"/>
          <w:i w:val="false"/>
          <w:color w:val="000000"/>
          <w:sz w:val="28"/>
        </w:rPr>
        <w:t xml:space="preserve">, </w:t>
      </w:r>
      <w:r>
        <w:rPr>
          <w:rFonts w:ascii="Times New Roman"/>
          <w:b w:val="false"/>
          <w:i w:val="false"/>
          <w:color w:val="000000"/>
          <w:sz w:val="28"/>
        </w:rPr>
        <w:t>1089</w:t>
      </w:r>
      <w:r>
        <w:rPr>
          <w:rFonts w:ascii="Times New Roman"/>
          <w:b w:val="false"/>
          <w:i w:val="false"/>
          <w:color w:val="000000"/>
          <w:sz w:val="28"/>
        </w:rPr>
        <w:t xml:space="preserve">, </w:t>
      </w:r>
      <w:r>
        <w:rPr>
          <w:rFonts w:ascii="Times New Roman"/>
          <w:b w:val="false"/>
          <w:i w:val="false"/>
          <w:color w:val="000000"/>
          <w:sz w:val="28"/>
        </w:rPr>
        <w:t>1090</w:t>
      </w: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w:t>
      </w:r>
      <w:r>
        <w:rPr>
          <w:rFonts w:ascii="Times New Roman"/>
          <w:b w:val="false"/>
          <w:i w:val="false"/>
          <w:color w:val="000000"/>
          <w:sz w:val="28"/>
        </w:rPr>
        <w:t>1092</w:t>
      </w:r>
      <w:r>
        <w:rPr>
          <w:rFonts w:ascii="Times New Roman"/>
          <w:b w:val="false"/>
          <w:i w:val="false"/>
          <w:color w:val="000000"/>
          <w:sz w:val="28"/>
        </w:rPr>
        <w:t xml:space="preserve">, </w:t>
      </w:r>
      <w:r>
        <w:rPr>
          <w:rFonts w:ascii="Times New Roman"/>
          <w:b w:val="false"/>
          <w:i w:val="false"/>
          <w:color w:val="000000"/>
          <w:sz w:val="28"/>
        </w:rPr>
        <w:t>1093</w:t>
      </w:r>
      <w:r>
        <w:rPr>
          <w:rFonts w:ascii="Times New Roman"/>
          <w:b w:val="false"/>
          <w:i w:val="false"/>
          <w:color w:val="000000"/>
          <w:sz w:val="28"/>
        </w:rPr>
        <w:t xml:space="preserve">, </w:t>
      </w:r>
      <w:r>
        <w:rPr>
          <w:rFonts w:ascii="Times New Roman"/>
          <w:b w:val="false"/>
          <w:i w:val="false"/>
          <w:color w:val="000000"/>
          <w:sz w:val="28"/>
        </w:rPr>
        <w:t>1094</w:t>
      </w:r>
      <w:r>
        <w:rPr>
          <w:rFonts w:ascii="Times New Roman"/>
          <w:b w:val="false"/>
          <w:i w:val="false"/>
          <w:color w:val="000000"/>
          <w:sz w:val="28"/>
        </w:rPr>
        <w:t xml:space="preserve">, </w:t>
      </w:r>
      <w:r>
        <w:rPr>
          <w:rFonts w:ascii="Times New Roman"/>
          <w:b w:val="false"/>
          <w:i w:val="false"/>
          <w:color w:val="000000"/>
          <w:sz w:val="28"/>
        </w:rPr>
        <w:t>1095</w:t>
      </w:r>
      <w:r>
        <w:rPr>
          <w:rFonts w:ascii="Times New Roman"/>
          <w:b w:val="false"/>
          <w:i w:val="false"/>
          <w:color w:val="000000"/>
          <w:sz w:val="28"/>
        </w:rPr>
        <w:t xml:space="preserve">, </w:t>
      </w:r>
      <w:r>
        <w:rPr>
          <w:rFonts w:ascii="Times New Roman"/>
          <w:b w:val="false"/>
          <w:i w:val="false"/>
          <w:color w:val="000000"/>
          <w:sz w:val="28"/>
        </w:rPr>
        <w:t>1096</w:t>
      </w:r>
      <w:r>
        <w:rPr>
          <w:rFonts w:ascii="Times New Roman"/>
          <w:b w:val="false"/>
          <w:i w:val="false"/>
          <w:color w:val="000000"/>
          <w:sz w:val="28"/>
        </w:rPr>
        <w:t xml:space="preserve"> және </w:t>
      </w:r>
      <w:r>
        <w:rPr>
          <w:rFonts w:ascii="Times New Roman"/>
          <w:b w:val="false"/>
          <w:i w:val="false"/>
          <w:color w:val="000000"/>
          <w:sz w:val="28"/>
        </w:rPr>
        <w:t>1097-тармақтары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25-тарауға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4-параграфы</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"4-параграф. Болаттың жаңа маркалары";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1105</w:t>
      </w:r>
      <w:r>
        <w:rPr>
          <w:rFonts w:ascii="Times New Roman"/>
          <w:b w:val="false"/>
          <w:i w:val="false"/>
          <w:color w:val="000000"/>
          <w:sz w:val="28"/>
        </w:rPr>
        <w:t xml:space="preserve"> және </w:t>
      </w:r>
      <w:r>
        <w:rPr>
          <w:rFonts w:ascii="Times New Roman"/>
          <w:b w:val="false"/>
          <w:i w:val="false"/>
          <w:color w:val="000000"/>
          <w:sz w:val="28"/>
        </w:rPr>
        <w:t>1107-тармақтары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1117-тармақ</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"1117. Бекіткіштердің қолданылатын материалдары фланец материалының ұқсас коэффициентіне жақын сызықтық кеңею коэффициентімен таңдалады және бұл коэффициенттердегі айырмашылық 10% - дан аспайды. Әр түрлі сызықтық кеңею коэффициенттері бар болаттарды (10% - дан астам) қолдануға беріктікті есептеу немесе эксперименттік зерттеулермен негізделген жағдайларда және бекіткіштің есептік температурасы 50°С-тан аспайтын жағдайларда жол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9-параграфтары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1182-тармақ</w:t>
      </w:r>
      <w:r>
        <w:rPr>
          <w:rFonts w:ascii="Times New Roman"/>
          <w:b w:val="false"/>
          <w:i w:val="false"/>
          <w:color w:val="000000"/>
          <w:sz w:val="28"/>
        </w:rPr>
        <w:t xml:space="preserve"> мынадай редакцияда жазылсын:</w:t>
      </w:r>
    </w:p>
    <w:bookmarkStart w:name="z66" w:id="31"/>
    <w:p>
      <w:pPr>
        <w:spacing w:after="0"/>
        <w:ind w:left="0"/>
        <w:jc w:val="both"/>
      </w:pPr>
      <w:r>
        <w:rPr>
          <w:rFonts w:ascii="Times New Roman"/>
          <w:b w:val="false"/>
          <w:i w:val="false"/>
          <w:color w:val="000000"/>
          <w:sz w:val="28"/>
        </w:rPr>
        <w:t>
      "1182. Монтаждау немесе жөндеу кәсіпорны жол берілмейтін ақауларды анықтауға, пайдаланудағы құбырлардың Жоғары сапасы мен сенімділігіне кепілдік беретін орындалған жұмыстарды бақылаудың түрлері мен көлемін қолданады. Бұл ретте бақылау көлемі осы Қағидаларда көзделгеннен кем болмауы тиіс.";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1326-тармақ</w:t>
      </w:r>
      <w:r>
        <w:rPr>
          <w:rFonts w:ascii="Times New Roman"/>
          <w:b w:val="false"/>
          <w:i w:val="false"/>
          <w:color w:val="000000"/>
          <w:sz w:val="28"/>
        </w:rPr>
        <w:t xml:space="preserve"> мынадай редакцияда жазылсын:</w:t>
      </w:r>
    </w:p>
    <w:bookmarkStart w:name="z68" w:id="32"/>
    <w:p>
      <w:pPr>
        <w:spacing w:after="0"/>
        <w:ind w:left="0"/>
        <w:jc w:val="both"/>
      </w:pPr>
      <w:r>
        <w:rPr>
          <w:rFonts w:ascii="Times New Roman"/>
          <w:b w:val="false"/>
          <w:i w:val="false"/>
          <w:color w:val="000000"/>
          <w:sz w:val="28"/>
        </w:rPr>
        <w:t>
      "1326. Жөндеу жұмыстарын жүргізуге рұқсат Қауіпі жоғары жағдайларда жұмыс жүргізу кезінде наряд-рұқсаттарды ресімдеу және оларды қолдану қағидаларына сәйкес ресімделген наряд-рұқсатқа сәйкес жүргізіледі.".</w:t>
      </w:r>
    </w:p>
    <w:bookmarkEnd w:id="32"/>
    <w:bookmarkStart w:name="z69" w:id="3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33"/>
    <w:bookmarkStart w:name="z70" w:id="3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4"/>
    <w:bookmarkStart w:name="z71" w:id="35"/>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интернет-ресурсына орналастыруды;</w:t>
      </w:r>
    </w:p>
    <w:bookmarkEnd w:id="35"/>
    <w:bookmarkStart w:name="z72" w:id="36"/>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6"/>
    <w:bookmarkStart w:name="z73" w:id="3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37"/>
    <w:bookmarkStart w:name="z74"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