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6971" w14:textId="3716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15 қазандағы № 8-2 "Ақжайық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25 қарашадағы № 21-2 шешімі. Қазақстан Республикасының Әділет министрлігінде 2022 жылғы 28 қарашада № 30747 болып тіркелді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2021 жылғы 15 қазандағы № 8-2 "Ақжайық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24940 болып тіркелген)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"Ақжайық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"1. Ақжайық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15 қазандағы № 8-2 шешіміне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25 қарашадағы № 21-2 шешіміне </w:t>
            </w:r>
            <w:r>
              <w:br/>
            </w:r>
            <w:r>
              <w:rPr>
                <w:rFonts w:ascii="Times New Roman"/>
                <w:b w:val="false"/>
                <w:i w:val="false"/>
                <w:color w:val="000000"/>
                <w:sz w:val="20"/>
              </w:rPr>
              <w:t xml:space="preserve">қосымша </w:t>
            </w:r>
          </w:p>
        </w:tc>
      </w:tr>
    </w:tbl>
    <w:bookmarkStart w:name="z14" w:id="8"/>
    <w:p>
      <w:pPr>
        <w:spacing w:after="0"/>
        <w:ind w:left="0"/>
        <w:jc w:val="left"/>
      </w:pPr>
      <w:r>
        <w:rPr>
          <w:rFonts w:ascii="Times New Roman"/>
          <w:b/>
          <w:i w:val="false"/>
          <w:color w:val="000000"/>
        </w:rPr>
        <w:t xml:space="preserve"> Ақжайық ауданында мүгедектегі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5" w:id="9"/>
    <w:p>
      <w:pPr>
        <w:spacing w:after="0"/>
        <w:ind w:left="0"/>
        <w:jc w:val="both"/>
      </w:pPr>
      <w:r>
        <w:rPr>
          <w:rFonts w:ascii="Times New Roman"/>
          <w:b w:val="false"/>
          <w:i w:val="false"/>
          <w:color w:val="000000"/>
          <w:sz w:val="28"/>
        </w:rPr>
        <w:t xml:space="preserve">
      1. Осы Ақжайық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қарай–шығындарды өтеу қағидалары) сәйкес әзірленді.</w:t>
      </w:r>
    </w:p>
    <w:bookmarkEnd w:id="9"/>
    <w:bookmarkStart w:name="z16" w:id="10"/>
    <w:p>
      <w:pPr>
        <w:spacing w:after="0"/>
        <w:ind w:left="0"/>
        <w:jc w:val="both"/>
      </w:pPr>
      <w:r>
        <w:rPr>
          <w:rFonts w:ascii="Times New Roman"/>
          <w:b w:val="false"/>
          <w:i w:val="false"/>
          <w:color w:val="000000"/>
          <w:sz w:val="28"/>
        </w:rPr>
        <w:t>
      2. Мүгедектегі бар балалар қатарындағы кемтар балаларды жеке оқыту жоспары бойынша үйде оқытуға жұмсаған шығындарды өндіріп алу (бұдан әрі-оқытуға жұмсаған шығындарын өндіріп алу) мүгедектер қатарындағы кемтар балаларды үйде оқу фактісін растайтын оқу орнының анықтамасы негізінде "Ақжайық аудандық жұмыспен қамту және әлеуметтік бағдарламалар бөлімі" мемлекеттік мекемесімен жүзеге асырылады.</w:t>
      </w:r>
    </w:p>
    <w:bookmarkEnd w:id="10"/>
    <w:bookmarkStart w:name="z17" w:id="11"/>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мүгедектігі бар балалардың ата-анасының біреуіне немесе өзге де заңды өкілдеріне отбасының табысына қарамастан беріледі.</w:t>
      </w:r>
    </w:p>
    <w:bookmarkEnd w:id="11"/>
    <w:bookmarkStart w:name="z18" w:id="12"/>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19" w:id="13"/>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балалардың мемлекеттік мекемелерде оқып жатқан кезеңі, мүгедектігі бар балалардың қайтыс болуы) төлемдер тиісті жағдайлар туындағаннан кейінгі айдан бастап тоқтатылады.</w:t>
      </w:r>
    </w:p>
    <w:bookmarkEnd w:id="13"/>
    <w:bookmarkStart w:name="z20"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жеке оқыту жоспары бойынша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ал қандастар үшін қандас куәлігі-жеке бастың идентификациясы.</w:t>
      </w:r>
    </w:p>
    <w:bookmarkEnd w:id="14"/>
    <w:bookmarkStart w:name="z21"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үш айлық есептік көрсеткішке тең.</w:t>
      </w:r>
    </w:p>
    <w:bookmarkEnd w:id="15"/>
    <w:bookmarkStart w:name="z22" w:id="16"/>
    <w:p>
      <w:pPr>
        <w:spacing w:after="0"/>
        <w:ind w:left="0"/>
        <w:jc w:val="both"/>
      </w:pPr>
      <w:r>
        <w:rPr>
          <w:rFonts w:ascii="Times New Roman"/>
          <w:b w:val="false"/>
          <w:i w:val="false"/>
          <w:color w:val="000000"/>
          <w:sz w:val="28"/>
        </w:rPr>
        <w:t xml:space="preserve">
      8. Үйде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