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d33c" w14:textId="22ad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 бойынша тұрғын үй сертификаттарының мөлшері мен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2022 жылғы 30 қыркүйектегі № 22/138 шешімі. Қазақстан Республикасының Әділет министрлігінде 2022 жылғы 11 қазанда № 30107 болып тiркелдi. Күші жойылды - Түркістан облысы Бәйдібек аудандық мәслихатының 2023 жылғы 11 қазандағы № 7/34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Бәйдібек аудандық мәслихатының 11.10.2023 № 7/34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14-1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(нормативтік құқықтық актілерді мемлекеттік тіркеу тізілімінде № 18883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Бәйдібек аудандық мәслихаты ШЕШТІ:</w:t>
      </w:r>
    </w:p>
    <w:bookmarkStart w:name="z2" w:id="1"/>
    <w:p>
      <w:pPr>
        <w:spacing w:after="0"/>
        <w:ind w:left="0"/>
        <w:jc w:val="both"/>
      </w:pPr>
      <w:r>
        <w:rPr>
          <w:rFonts w:ascii="Times New Roman"/>
          <w:b w:val="false"/>
          <w:i w:val="false"/>
          <w:color w:val="000000"/>
          <w:sz w:val="28"/>
        </w:rPr>
        <w:t xml:space="preserve">
      1. Бәйдібек ауданы бойынша тұрғын үй сертификаттарының мөлшері мен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Бәйдібек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Кенехан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2022 жылғы 30 қыркүйектегі № 22/138</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Бәйдібек ауданы бойынша тұрғын үй сертификаттарының мөлшері</w:t>
      </w:r>
    </w:p>
    <w:p>
      <w:pPr>
        <w:spacing w:after="0"/>
        <w:ind w:left="0"/>
        <w:jc w:val="both"/>
      </w:pPr>
      <w:r>
        <w:rPr>
          <w:rFonts w:ascii="Times New Roman"/>
          <w:b w:val="false"/>
          <w:i w:val="false"/>
          <w:color w:val="000000"/>
          <w:sz w:val="28"/>
        </w:rPr>
        <w:t>
      1) әлеуметтік көмек ретінде бастапқы жарна сомасының 90 % мөлшерінде,</w:t>
      </w:r>
    </w:p>
    <w:p>
      <w:pPr>
        <w:spacing w:after="0"/>
        <w:ind w:left="0"/>
        <w:jc w:val="both"/>
      </w:pPr>
      <w:r>
        <w:rPr>
          <w:rFonts w:ascii="Times New Roman"/>
          <w:b w:val="false"/>
          <w:i w:val="false"/>
          <w:color w:val="000000"/>
          <w:sz w:val="28"/>
        </w:rPr>
        <w:t>
      бірақ 1 500 000 (бір миллион бес жүз мың) теңгеден аспайтын мөлшерде;</w:t>
      </w:r>
    </w:p>
    <w:p>
      <w:pPr>
        <w:spacing w:after="0"/>
        <w:ind w:left="0"/>
        <w:jc w:val="both"/>
      </w:pPr>
      <w:r>
        <w:rPr>
          <w:rFonts w:ascii="Times New Roman"/>
          <w:b w:val="false"/>
          <w:i w:val="false"/>
          <w:color w:val="000000"/>
          <w:sz w:val="28"/>
        </w:rPr>
        <w:t>
      2) әлеуметтік қолдау ретінде бастапқы жарна сомасының 90 % мөлшерінде, бірақ 1 500 000 (бір миллион бес жүз мың) теңгеден аспайтын мөлшерде айқындалсын.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2022 жылғы 30 қыркүйектегі № 22/138</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Бәйдібек ауданы бойынша тұрғын үй сертификаттарын алушылар санаттарының тізбесі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 (жергілікті атқарушы органдарында тұрғын үй алуға кезекте тұрған);</w:t>
      </w:r>
    </w:p>
    <w:p>
      <w:pPr>
        <w:spacing w:after="0"/>
        <w:ind w:left="0"/>
        <w:jc w:val="both"/>
      </w:pPr>
      <w:r>
        <w:rPr>
          <w:rFonts w:ascii="Times New Roman"/>
          <w:b w:val="false"/>
          <w:i w:val="false"/>
          <w:color w:val="000000"/>
          <w:sz w:val="28"/>
        </w:rPr>
        <w:t>
      3) басқа мемлекеттердің аумағындағы ұрыс қимылдарының ардагерлері (жергілікті атқарушы органдарында тұрғын үй алуға кезекте тұрған);</w:t>
      </w:r>
    </w:p>
    <w:p>
      <w:pPr>
        <w:spacing w:after="0"/>
        <w:ind w:left="0"/>
        <w:jc w:val="both"/>
      </w:pPr>
      <w:r>
        <w:rPr>
          <w:rFonts w:ascii="Times New Roman"/>
          <w:b w:val="false"/>
          <w:i w:val="false"/>
          <w:color w:val="000000"/>
          <w:sz w:val="28"/>
        </w:rPr>
        <w:t>
      4) бірінші және екінші топтардағы мүгедектігі бар адамдар (жергілікті атқарушы органдарында тұрғын үй алуға кезекте тұрған);</w:t>
      </w:r>
    </w:p>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 (жергілікті атқарушы органдарында тұрғын үй алуға кезекте тұрған);</w:t>
      </w:r>
    </w:p>
    <w:p>
      <w:pPr>
        <w:spacing w:after="0"/>
        <w:ind w:left="0"/>
        <w:jc w:val="both"/>
      </w:pPr>
      <w:r>
        <w:rPr>
          <w:rFonts w:ascii="Times New Roman"/>
          <w:b w:val="false"/>
          <w:i w:val="false"/>
          <w:color w:val="000000"/>
          <w:sz w:val="28"/>
        </w:rPr>
        <w:t>
      6) денсаулық сақтау саласындағы уәкілетті орган бекiтетiн аурулар тiзiмiнде аталған кейбiр созылмалы аурулардың ауыр түрлерiмен ауыратын адамдар (жергілікті атқарушы органдарында тұрғын үй алуға кезекте тұрған);</w:t>
      </w:r>
    </w:p>
    <w:p>
      <w:pPr>
        <w:spacing w:after="0"/>
        <w:ind w:left="0"/>
        <w:jc w:val="both"/>
      </w:pPr>
      <w:r>
        <w:rPr>
          <w:rFonts w:ascii="Times New Roman"/>
          <w:b w:val="false"/>
          <w:i w:val="false"/>
          <w:color w:val="000000"/>
          <w:sz w:val="28"/>
        </w:rPr>
        <w:t>
      7) жасына қарай зейнет демалысына шыққан зейнеткерлер (жергілікті атқарушы органдарында тұрғын үй алуға кезекте тұрған);</w:t>
      </w:r>
    </w:p>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(жергілікті атқарушы органдарында тұрғын үй алуға кезекте тұрған);</w:t>
      </w:r>
    </w:p>
    <w:p>
      <w:pPr>
        <w:spacing w:after="0"/>
        <w:ind w:left="0"/>
        <w:jc w:val="both"/>
      </w:pPr>
      <w:r>
        <w:rPr>
          <w:rFonts w:ascii="Times New Roman"/>
          <w:b w:val="false"/>
          <w:i w:val="false"/>
          <w:color w:val="000000"/>
          <w:sz w:val="28"/>
        </w:rPr>
        <w:t>
      9) қандастар (жергілікті атқарушы органдарында тұрғын үй алуға кезекте тұрған);</w:t>
      </w:r>
    </w:p>
    <w:p>
      <w:pPr>
        <w:spacing w:after="0"/>
        <w:ind w:left="0"/>
        <w:jc w:val="both"/>
      </w:pPr>
      <w:r>
        <w:rPr>
          <w:rFonts w:ascii="Times New Roman"/>
          <w:b w:val="false"/>
          <w:i w:val="false"/>
          <w:color w:val="000000"/>
          <w:sz w:val="28"/>
        </w:rPr>
        <w:t>
      10) экологиялық зiлзалалар, табиғи және техногендi сипаттағы төтенше жағдайлар салдарынан тұрғын үйiнен айырылған адамдар (жергілікті атқарушы органдарында тұрғын үй алуға кезекте тұрған);</w:t>
      </w:r>
    </w:p>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(жергілікті атқарушы органдарында тұрғын үй алуға кезекте тұрған);</w:t>
      </w:r>
    </w:p>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(жергілікті атқарушы органдарында тұрғын үй алуға кезекте тұрған);</w:t>
      </w:r>
    </w:p>
    <w:p>
      <w:pPr>
        <w:spacing w:after="0"/>
        <w:ind w:left="0"/>
        <w:jc w:val="both"/>
      </w:pPr>
      <w:r>
        <w:rPr>
          <w:rFonts w:ascii="Times New Roman"/>
          <w:b w:val="false"/>
          <w:i w:val="false"/>
          <w:color w:val="000000"/>
          <w:sz w:val="28"/>
        </w:rPr>
        <w:t>
      13) толық емес отбасылар (жергілікті атқарушы органдарында тұрғын үй алуға кезекте тұрған);</w:t>
      </w:r>
    </w:p>
    <w:p>
      <w:pPr>
        <w:spacing w:after="0"/>
        <w:ind w:left="0"/>
        <w:jc w:val="both"/>
      </w:pPr>
      <w:r>
        <w:rPr>
          <w:rFonts w:ascii="Times New Roman"/>
          <w:b w:val="false"/>
          <w:i w:val="false"/>
          <w:color w:val="000000"/>
          <w:sz w:val="28"/>
        </w:rPr>
        <w:t xml:space="preserve">
      14) Қазақстан Республикасы Еңбек және халықты әлеуметтік қорғау министрінің 2019 жылғы 29 наурыздағы № 154 "Еңбек ресурстарын болжаудың ұлттық жүйесін қалыптастыру және оның нәтижелерін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18445 болып тіркелген) сәйкес, қалыптастырылатын еңбек ресурстарының болжамын ескере отырып айқындалатын денсаулық сақтау, білім беру, мәдениет, спорт салаларындағы бюджеттік ұйымдарының мамандары және де өзге де салалардағы мамандар (жергілікті атқарушы органдарында тұрғын үй алуға кезекте тұрған).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