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9cea" w14:textId="c569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 әкiмдiгiнiң 2018 жылғы 28 сәуірдегі № 170 ""Б" корпусындағы қалалық бюджеттен қаржыландырылатын атқарушы органдардың мемлекеттік әкімшілік қызметшілері мен Арыс қаласы әкімі аппаратының мемлекеттік әкімшілік қызметшілерінің қызметін бағалаудың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қаласы әкiмдiгiнiң 2022 жылғы 26 сәуірдегі № 278 қаулысы. Қазақстан Республикасының Әділет министрлігінде 2022 жылғы 4 мамырда № 27877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Арыс қаласы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қаласы әкiмдiгiнiң 2018 жылғы 28 сәуірдегі № 170 ""Б" корпусындағы қалалық бюджеттен қаржыландырылатын атқарушы органдардың мемлекеттік әкімшілік қызметшілері мен Арыс қаласы әкімі аппаратының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4598 болып тіркелген)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Арыс қаласы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