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e9987" w14:textId="dae99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2017 жылғы 24 шілдедегі № 200 "Су қорғау аймақтары, белдеулері, олардың шаруашылық пайдаланудың режимі мен ерекше жағдайлары туралы" қаулысына өзгерістер енгізу туралы</w:t>
      </w:r>
    </w:p>
    <w:p>
      <w:pPr>
        <w:spacing w:after="0"/>
        <w:ind w:left="0"/>
        <w:jc w:val="both"/>
      </w:pPr>
      <w:r>
        <w:rPr>
          <w:rFonts w:ascii="Times New Roman"/>
          <w:b w:val="false"/>
          <w:i w:val="false"/>
          <w:color w:val="000000"/>
          <w:sz w:val="28"/>
        </w:rPr>
        <w:t>Түркістан облысы әкiмдiгiнiң 2022 жылғы 10 қарашадағы № 218 қаулысы. Қазақстан Республикасының Әділет министрлігінде 2022 жылғы 14 қарашада № 30510 болып тiркелдi</w:t>
      </w:r>
    </w:p>
    <w:p>
      <w:pPr>
        <w:spacing w:after="0"/>
        <w:ind w:left="0"/>
        <w:jc w:val="both"/>
      </w:pPr>
      <w:bookmarkStart w:name="z1" w:id="0"/>
      <w:r>
        <w:rPr>
          <w:rFonts w:ascii="Times New Roman"/>
          <w:b w:val="false"/>
          <w:i w:val="false"/>
          <w:color w:val="000000"/>
          <w:sz w:val="28"/>
        </w:rPr>
        <w:t>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Оңтүстік Қазақстан облысы әкімдігінің "Су қорғау аймақтары, белдеулері, олардың шаруашылық пайдаланудың режимі мен ерекше жағдайлары туралы" 2017 жылғы 24 шілдедегі № 200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4186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p>
    <w:bookmarkEnd w:id="2"/>
    <w:p>
      <w:pPr>
        <w:spacing w:after="0"/>
        <w:ind w:left="0"/>
        <w:jc w:val="both"/>
      </w:pPr>
      <w:r>
        <w:rPr>
          <w:rFonts w:ascii="Times New Roman"/>
          <w:b w:val="false"/>
          <w:i w:val="false"/>
          <w:color w:val="000000"/>
          <w:sz w:val="28"/>
        </w:rPr>
        <w:t>
      "Су нысандарының су қорғау аймақтары мен белдеулерін, оларды шаруашылықта пайдалану режимі мен ерекше жағдайларын белгілеу туралы";</w:t>
      </w:r>
    </w:p>
    <w:bookmarkStart w:name="z4"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кіріспесі</w:t>
      </w:r>
      <w:r>
        <w:rPr>
          <w:rFonts w:ascii="Times New Roman"/>
          <w:b w:val="false"/>
          <w:i w:val="false"/>
          <w:color w:val="000000"/>
          <w:sz w:val="28"/>
        </w:rPr>
        <w:t xml:space="preserve"> келесі редакцияда жазылсын:</w:t>
      </w:r>
    </w:p>
    <w:bookmarkEnd w:id="3"/>
    <w:p>
      <w:pPr>
        <w:spacing w:after="0"/>
        <w:ind w:left="0"/>
        <w:jc w:val="both"/>
      </w:pPr>
      <w:r>
        <w:rPr>
          <w:rFonts w:ascii="Times New Roman"/>
          <w:b w:val="false"/>
          <w:i w:val="false"/>
          <w:color w:val="000000"/>
          <w:sz w:val="28"/>
        </w:rPr>
        <w:t xml:space="preserve">
      "Қазақстан Республикасының Су кодексінің 39-бабының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 тармақшаларына</w:t>
      </w:r>
      <w:r>
        <w:rPr>
          <w:rFonts w:ascii="Times New Roman"/>
          <w:b w:val="false"/>
          <w:i w:val="false"/>
          <w:color w:val="000000"/>
          <w:sz w:val="28"/>
        </w:rPr>
        <w:t xml:space="preserve"> және 116-бабының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Ауыл шаруашылығы министрінің 2015 жылғы 18 мамырдағы "Су қорғау аймақтары мен белдеулерiн белгiлеу қағидаларын бекiту туралы"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тіркелген) сәйкес, Түркістан облысының әкімдігі ҚАУЛЫ ЕТЕДІ:";</w:t>
      </w:r>
    </w:p>
    <w:bookmarkStart w:name="z5"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4"/>
    <w:p>
      <w:pPr>
        <w:spacing w:after="0"/>
        <w:ind w:left="0"/>
        <w:jc w:val="both"/>
      </w:pPr>
      <w:r>
        <w:rPr>
          <w:rFonts w:ascii="Times New Roman"/>
          <w:b w:val="false"/>
          <w:i w:val="false"/>
          <w:color w:val="000000"/>
          <w:sz w:val="28"/>
        </w:rPr>
        <w:t>
      "1. Белгіленсін:</w:t>
      </w:r>
    </w:p>
    <w:p>
      <w:pPr>
        <w:spacing w:after="0"/>
        <w:ind w:left="0"/>
        <w:jc w:val="both"/>
      </w:pPr>
      <w:r>
        <w:rPr>
          <w:rFonts w:ascii="Times New Roman"/>
          <w:b w:val="false"/>
          <w:i w:val="false"/>
          <w:color w:val="000000"/>
          <w:sz w:val="28"/>
        </w:rPr>
        <w:t>
      1) осы қаулының 1-қосымшасына сәйкес су нысандарының су қорғау аймақтары мен белдеулері;</w:t>
      </w:r>
    </w:p>
    <w:p>
      <w:pPr>
        <w:spacing w:after="0"/>
        <w:ind w:left="0"/>
        <w:jc w:val="both"/>
      </w:pPr>
      <w:r>
        <w:rPr>
          <w:rFonts w:ascii="Times New Roman"/>
          <w:b w:val="false"/>
          <w:i w:val="false"/>
          <w:color w:val="000000"/>
          <w:sz w:val="28"/>
        </w:rPr>
        <w:t>
      2) осы қаулының 2-қосымшасына сәйкес су нысандарының су қорғау аймақтары мен белдеулерін шаруашылықта пайдалану режимі мен ерекше жағдайлары.";</w:t>
      </w:r>
    </w:p>
    <w:bookmarkStart w:name="z6" w:id="5"/>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xml:space="preserve">
      2. Осы қаулының орындалуын бақылау Түркістан облысы әкімінің орынбасарына жүктелсін. </w:t>
      </w:r>
    </w:p>
    <w:bookmarkEnd w:id="6"/>
    <w:bookmarkStart w:name="z8" w:id="7"/>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Экология, геология </w:t>
      </w:r>
    </w:p>
    <w:p>
      <w:pPr>
        <w:spacing w:after="0"/>
        <w:ind w:left="0"/>
        <w:jc w:val="both"/>
      </w:pPr>
      <w:r>
        <w:rPr>
          <w:rFonts w:ascii="Times New Roman"/>
          <w:b w:val="false"/>
          <w:i w:val="false"/>
          <w:color w:val="000000"/>
          <w:sz w:val="28"/>
        </w:rPr>
        <w:t xml:space="preserve">
      және табиғи ресурстар министрлігі Су </w:t>
      </w:r>
    </w:p>
    <w:p>
      <w:pPr>
        <w:spacing w:after="0"/>
        <w:ind w:left="0"/>
        <w:jc w:val="both"/>
      </w:pPr>
      <w:r>
        <w:rPr>
          <w:rFonts w:ascii="Times New Roman"/>
          <w:b w:val="false"/>
          <w:i w:val="false"/>
          <w:color w:val="000000"/>
          <w:sz w:val="28"/>
        </w:rPr>
        <w:t xml:space="preserve">
      ресурстары комитетінің "Су ресурстарын </w:t>
      </w:r>
    </w:p>
    <w:p>
      <w:pPr>
        <w:spacing w:after="0"/>
        <w:ind w:left="0"/>
        <w:jc w:val="both"/>
      </w:pPr>
      <w:r>
        <w:rPr>
          <w:rFonts w:ascii="Times New Roman"/>
          <w:b w:val="false"/>
          <w:i w:val="false"/>
          <w:color w:val="000000"/>
          <w:sz w:val="28"/>
        </w:rPr>
        <w:t>
      пайдалануды реттеу және қорғау жөніндегі</w:t>
      </w:r>
    </w:p>
    <w:p>
      <w:pPr>
        <w:spacing w:after="0"/>
        <w:ind w:left="0"/>
        <w:jc w:val="both"/>
      </w:pPr>
      <w:r>
        <w:rPr>
          <w:rFonts w:ascii="Times New Roman"/>
          <w:b w:val="false"/>
          <w:i w:val="false"/>
          <w:color w:val="000000"/>
          <w:sz w:val="28"/>
        </w:rPr>
        <w:t>
      Арал-Сырдария бассейндік инспекциясы"</w:t>
      </w:r>
    </w:p>
    <w:p>
      <w:pPr>
        <w:spacing w:after="0"/>
        <w:ind w:left="0"/>
        <w:jc w:val="both"/>
      </w:pPr>
      <w:r>
        <w:rPr>
          <w:rFonts w:ascii="Times New Roman"/>
          <w:b w:val="false"/>
          <w:i w:val="false"/>
          <w:color w:val="000000"/>
          <w:sz w:val="28"/>
        </w:rPr>
        <w:t xml:space="preserve">
      Республикалық мемлекеттік мекемесі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Денсаулық сақтау</w:t>
      </w:r>
    </w:p>
    <w:p>
      <w:pPr>
        <w:spacing w:after="0"/>
        <w:ind w:left="0"/>
        <w:jc w:val="both"/>
      </w:pPr>
      <w:r>
        <w:rPr>
          <w:rFonts w:ascii="Times New Roman"/>
          <w:b w:val="false"/>
          <w:i w:val="false"/>
          <w:color w:val="000000"/>
          <w:sz w:val="28"/>
        </w:rPr>
        <w:t>
      министрлігінің Санитариялық-эпидемиологиялық</w:t>
      </w:r>
    </w:p>
    <w:p>
      <w:pPr>
        <w:spacing w:after="0"/>
        <w:ind w:left="0"/>
        <w:jc w:val="both"/>
      </w:pPr>
      <w:r>
        <w:rPr>
          <w:rFonts w:ascii="Times New Roman"/>
          <w:b w:val="false"/>
          <w:i w:val="false"/>
          <w:color w:val="000000"/>
          <w:sz w:val="28"/>
        </w:rPr>
        <w:t>
      бақылау комитеті Түркістан облысының</w:t>
      </w:r>
    </w:p>
    <w:p>
      <w:pPr>
        <w:spacing w:after="0"/>
        <w:ind w:left="0"/>
        <w:jc w:val="both"/>
      </w:pPr>
      <w:r>
        <w:rPr>
          <w:rFonts w:ascii="Times New Roman"/>
          <w:b w:val="false"/>
          <w:i w:val="false"/>
          <w:color w:val="000000"/>
          <w:sz w:val="28"/>
        </w:rPr>
        <w:t>
      санитариялық-эпидемиологиялық бақылау департаменті"</w:t>
      </w:r>
    </w:p>
    <w:p>
      <w:pPr>
        <w:spacing w:after="0"/>
        <w:ind w:left="0"/>
        <w:jc w:val="both"/>
      </w:pPr>
      <w:r>
        <w:rPr>
          <w:rFonts w:ascii="Times New Roman"/>
          <w:b w:val="false"/>
          <w:i w:val="false"/>
          <w:color w:val="000000"/>
          <w:sz w:val="28"/>
        </w:rPr>
        <w:t xml:space="preserve">
      Республикалық мемлекеттік мекемесі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2022 жылғы 10 қарашадағы</w:t>
            </w:r>
            <w:r>
              <w:br/>
            </w:r>
            <w:r>
              <w:rPr>
                <w:rFonts w:ascii="Times New Roman"/>
                <w:b w:val="false"/>
                <w:i w:val="false"/>
                <w:color w:val="000000"/>
                <w:sz w:val="20"/>
              </w:rPr>
              <w:t>№ 218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облысы әкімдігінің</w:t>
            </w:r>
            <w:r>
              <w:br/>
            </w:r>
            <w:r>
              <w:rPr>
                <w:rFonts w:ascii="Times New Roman"/>
                <w:b w:val="false"/>
                <w:i w:val="false"/>
                <w:color w:val="000000"/>
                <w:sz w:val="20"/>
              </w:rPr>
              <w:t>2017 жылғы 24 шілдедегі</w:t>
            </w:r>
            <w:r>
              <w:br/>
            </w:r>
            <w:r>
              <w:rPr>
                <w:rFonts w:ascii="Times New Roman"/>
                <w:b w:val="false"/>
                <w:i w:val="false"/>
                <w:color w:val="000000"/>
                <w:sz w:val="20"/>
              </w:rPr>
              <w:t>№ 200 қаулысына 1-қосымша</w:t>
            </w:r>
          </w:p>
        </w:tc>
      </w:tr>
    </w:tbl>
    <w:p>
      <w:pPr>
        <w:spacing w:after="0"/>
        <w:ind w:left="0"/>
        <w:jc w:val="left"/>
      </w:pPr>
      <w:r>
        <w:rPr>
          <w:rFonts w:ascii="Times New Roman"/>
          <w:b/>
          <w:i w:val="false"/>
          <w:color w:val="000000"/>
        </w:rPr>
        <w:t xml:space="preserve"> Су нысандарының су қорғау аймақтары мен белдеулері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 нысандарының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 мен белдеулерінің ұзындығы, шақырым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аймағының ені,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белдеуінің ені, метр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Жаскешу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Ақби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Майлыкент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Арыс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Ақдала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Құтарыс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Қызылжар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Қазығұрт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Шарапхана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Жаңабазар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Бөржар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Қаратөбе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Қазығұрт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Біріншімай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Қызқұдық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Жіңішке-сай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Қазығұрт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Шарапхана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Қарабайсай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Тастақсай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Қазығұрт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Тұрбат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Қарабайсай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Қазығұрт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Алтынтөбе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Көкпарсай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Қызылқия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Аленсай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Әлімтау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Құрықсай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Қамыссалдысай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Құрық-келес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Құрықкелес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Тегісшіл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Біртілек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Көк-бұлақ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Жаскешу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Қарағашты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Қарағашты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Үрбұлақ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Жаскешу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Қаржантақсай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Құртұрған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Састөбе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Көмеш Бұлақ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Құтырған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Құтарыс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Бала-Боралдай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Бозбұлақ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Балабөген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Борлысай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Жетіқұдық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Кабумая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Бөржар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Наут-Сай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Текесу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Кемеқалған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Жамантас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Майдантал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Қантағы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Ораңғай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Иасы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Кантаги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Қарнақ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Қарашық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Үшқайық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Ораңғай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Қарнақ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Баялдыр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Жүзімсай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Жаңабазар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Жігерген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Жоғарысай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Көкібел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Біріншімай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Сауық-Бұлақ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Жаңабазар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Біріншімай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Манглай-Қызылсай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Қапатты-Қызылсай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Қамышшы-сай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Әлімтау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Керекті-сай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Әлімтау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Тасқұдық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Кезентас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Ақбетсай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Біртілек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Жібек-жолы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Шымырбексай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Көкбұлақ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Жаскешу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Жаскешу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Дудаба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Келтемашат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Еңбекшісай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Аулысуит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Борлысай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Ортасүт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Борлысай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Аясуит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Борлысай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Ұзынқұдық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Қошқар-Ата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Борлысай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Көксу-шаян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Ағыбет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Майбұлақ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Ағыбет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Айбек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Борлысай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Ағыбет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Шаянқұрықсай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Қызыл-бұлақ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Шауқсай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Соқасу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Жүйнек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Иқан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Көкқия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Иқан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Иқан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Яны-Курган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Бабайқорған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Бабайқорған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Шорнақ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Бозбұлақ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Бабайқорған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Қарнақ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Баялдыр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Бабайқорған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Желбұлақсай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Шарапхана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Жалпақсусай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Жігерген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Рабат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Шарапхана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Құрлыбайсай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Жаңабазар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Сарыбұлақсай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Қызылқия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Қорданбайсай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Әлімтау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Кеземшексай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Шеңгелді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Ақдала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Шеңгелді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Сымбыла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Көксәйек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Арыстанды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Ағыбет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Мырзагелді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Сасықсай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Мыңшабыр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Шылбыр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Иқан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Шамқалақ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Аширбайсай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Басынгу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Борлысай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Елбексай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Қотыр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Төбеқұдық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Борлысай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Ағыбет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Тесіктас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Бестоғай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Балықты-су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Көлкент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 ПК 0-2 – 500 ПК 3 – 550 ПК 4-6 – 500 ПК 7 – 550 ПК 8-9 – 600 ПК 10-18 250 ПК 19 – 500 ПК 20-25 250 Оң жағалау: ПК 1 – 250 ПК 2-3 – 250 ПК 4-5 – 550 ПК 6-7 – 600 ПК 8 – 500 ПК 9-10 – 600 ПК 11-19- 500 ПК 20 – 250 ПК 21 – 600 ПК 22 – 500 ПК 23 – 450 ПК 24- 350 ПК 25 - 250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 ПК 0-2 – 100 ПК 3-7 – 35 ПК 8 – 55 ПК 9 – 100 ПК 10-25 – 35 Оң жағалау: ПК 0-2 – 100 ПК 3 – 55 ПК 4-6 – 35 ПК 7-13 – 100 ПК 14 – 55 ПК 15-21 – 35 ПК 22-25 –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 қаласы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Құтарыс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Ақсу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Қаржансай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Қазығұрт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Рабат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 ПК 0-2 – 100 ПК 2-13 – 35 Оң жағалау: ПК 0-2 – 100 ПК 2-13 - 35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Алтынтөбе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Жабағылы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Ақбиік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 ПК 0-1 – 500 ПК 2 – 350 ПК 3 – 500 ПК 4 – 550 ПК 5-9 – 500 ПК 10 – 450 ПК 11 – 400 ПК 12 – 300 ПК 13-14 – 450 ПК 15-27 – 500 Оң жағалау: ПК 0-1 – 600 ПК 2 – 600 ПК 3 – 500 ПК 4 -550 ПК 5 – 600 ПК 6 – 500 ПК 7 – 400 ПК 8 – 500 ПК 9 – 450 ПК 10-27 –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 жағалау: ПК 0-6 – 35 ПК 7-14 – 55 ПК 15-18 – 70 ПК 19-27 – 100 Оң жағалау: ПК 0-6 – 35 ПК 7-14 – 55 ПК 15-18 – 70 ПК 19-27 - 100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Жабағылы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Майлыкент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 ПК 1 – 500 ПК 2-12 – 500 Оң жағалау:</w:t>
            </w:r>
          </w:p>
          <w:p>
            <w:pPr>
              <w:spacing w:after="20"/>
              <w:ind w:left="20"/>
              <w:jc w:val="both"/>
            </w:pPr>
            <w:r>
              <w:rPr>
                <w:rFonts w:ascii="Times New Roman"/>
                <w:b w:val="false"/>
                <w:i w:val="false"/>
                <w:color w:val="000000"/>
                <w:sz w:val="20"/>
              </w:rPr>
              <w:t>
ПК 1 – 500 ПК 2 – 500 ПК 3 – 550 ПК 4-6 – 500 ПК 7-10 – 250 ПК 11-12 –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 ПК 1 – 100 ПК 2-12 – 35 Оң жағалау: ПК 1 – 100 ПК 2-10 – 35 ПК 11-12 –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Ақбиік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Машат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Келтемашат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 ПК 1-4 – 500 ПК 4-10 – 600 ПК 10-12 – 500 ПК 12-15 – 600 ПК 15-24 – 500 ПК 24-25 - 600 Оң жағалау: ПК 0-8 – 500 ПК 8-10 – 600 ПК 10-11 – 500 ПК 11-14 – 600 ПК 14-17 – 500 ПК 17-25 –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 ПК 0-4 – 35 ПК 4-9 – 100 ПК 9-10 – 35 ПК 10-12 – 55 ПК 12-14 – 100 ПК 14-16 – 55 ПК 16-24 – 35 ПК 24-25 – 100 Оң жағалау: ПК 1-8 – 35 ПК 8-10 – 100 ПК 10-11 – 35 ПК 11-14 – 100 ПК 14-17 – 35 ПК 17-25 - 100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Жібек-жолы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Машат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Келтемашат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Келтемашат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 ПК 0-7 – 500 ПК 7-8 – 600 ПК 8-10 – 500 Оң жағалау: ПК 0-1 – 450 ПК 1-2 – 500 ПК 2 – 450 ПК 2-7 – 500 ПК 7-8 – 270 ПК 8-10 - 500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 ПК 0-10 – 100 Оң жағалау: ПК 0-10 - 35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Шұбарсу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p>
            <w:pPr>
              <w:spacing w:after="20"/>
              <w:ind w:left="20"/>
              <w:jc w:val="both"/>
            </w:pPr>
            <w:r>
              <w:rPr>
                <w:rFonts w:ascii="Times New Roman"/>
                <w:b w:val="false"/>
                <w:i w:val="false"/>
                <w:color w:val="000000"/>
                <w:sz w:val="20"/>
              </w:rPr>
              <w:t>
ПК 0-7 – 500</w:t>
            </w:r>
          </w:p>
          <w:p>
            <w:pPr>
              <w:spacing w:after="20"/>
              <w:ind w:left="20"/>
              <w:jc w:val="both"/>
            </w:pPr>
            <w:r>
              <w:rPr>
                <w:rFonts w:ascii="Times New Roman"/>
                <w:b w:val="false"/>
                <w:i w:val="false"/>
                <w:color w:val="000000"/>
                <w:sz w:val="20"/>
              </w:rPr>
              <w:t>
ПК 8 – 350</w:t>
            </w:r>
          </w:p>
          <w:p>
            <w:pPr>
              <w:spacing w:after="20"/>
              <w:ind w:left="20"/>
              <w:jc w:val="both"/>
            </w:pPr>
            <w:r>
              <w:rPr>
                <w:rFonts w:ascii="Times New Roman"/>
                <w:b w:val="false"/>
                <w:i w:val="false"/>
                <w:color w:val="000000"/>
                <w:sz w:val="20"/>
              </w:rPr>
              <w:t>
ПК 9 – 400</w:t>
            </w:r>
          </w:p>
          <w:p>
            <w:pPr>
              <w:spacing w:after="20"/>
              <w:ind w:left="20"/>
              <w:jc w:val="both"/>
            </w:pPr>
            <w:r>
              <w:rPr>
                <w:rFonts w:ascii="Times New Roman"/>
                <w:b w:val="false"/>
                <w:i w:val="false"/>
                <w:color w:val="000000"/>
                <w:sz w:val="20"/>
              </w:rPr>
              <w:t>
ПК 10 – 350</w:t>
            </w:r>
          </w:p>
          <w:p>
            <w:pPr>
              <w:spacing w:after="20"/>
              <w:ind w:left="20"/>
              <w:jc w:val="both"/>
            </w:pPr>
            <w:r>
              <w:rPr>
                <w:rFonts w:ascii="Times New Roman"/>
                <w:b w:val="false"/>
                <w:i w:val="false"/>
                <w:color w:val="000000"/>
                <w:sz w:val="20"/>
              </w:rPr>
              <w:t>
ПК 11-13 – 500</w:t>
            </w:r>
          </w:p>
          <w:p>
            <w:pPr>
              <w:spacing w:after="20"/>
              <w:ind w:left="20"/>
              <w:jc w:val="both"/>
            </w:pPr>
            <w:r>
              <w:rPr>
                <w:rFonts w:ascii="Times New Roman"/>
                <w:b w:val="false"/>
                <w:i w:val="false"/>
                <w:color w:val="000000"/>
                <w:sz w:val="20"/>
              </w:rPr>
              <w:t>
ПК 14 – 400</w:t>
            </w:r>
          </w:p>
          <w:p>
            <w:pPr>
              <w:spacing w:after="20"/>
              <w:ind w:left="20"/>
              <w:jc w:val="both"/>
            </w:pPr>
            <w:r>
              <w:rPr>
                <w:rFonts w:ascii="Times New Roman"/>
                <w:b w:val="false"/>
                <w:i w:val="false"/>
                <w:color w:val="000000"/>
                <w:sz w:val="20"/>
              </w:rPr>
              <w:t>
ПК 15 – 250</w:t>
            </w:r>
          </w:p>
          <w:p>
            <w:pPr>
              <w:spacing w:after="20"/>
              <w:ind w:left="20"/>
              <w:jc w:val="both"/>
            </w:pPr>
            <w:r>
              <w:rPr>
                <w:rFonts w:ascii="Times New Roman"/>
                <w:b w:val="false"/>
                <w:i w:val="false"/>
                <w:color w:val="000000"/>
                <w:sz w:val="20"/>
              </w:rPr>
              <w:t>
ПК 16 – 350</w:t>
            </w:r>
          </w:p>
          <w:p>
            <w:pPr>
              <w:spacing w:after="20"/>
              <w:ind w:left="20"/>
              <w:jc w:val="both"/>
            </w:pPr>
            <w:r>
              <w:rPr>
                <w:rFonts w:ascii="Times New Roman"/>
                <w:b w:val="false"/>
                <w:i w:val="false"/>
                <w:color w:val="000000"/>
                <w:sz w:val="20"/>
              </w:rPr>
              <w:t>
ПК 17 – 400</w:t>
            </w:r>
          </w:p>
          <w:p>
            <w:pPr>
              <w:spacing w:after="20"/>
              <w:ind w:left="20"/>
              <w:jc w:val="both"/>
            </w:pPr>
            <w:r>
              <w:rPr>
                <w:rFonts w:ascii="Times New Roman"/>
                <w:b w:val="false"/>
                <w:i w:val="false"/>
                <w:color w:val="000000"/>
                <w:sz w:val="20"/>
              </w:rPr>
              <w:t>
ПК 18 – 500</w:t>
            </w:r>
          </w:p>
          <w:p>
            <w:pPr>
              <w:spacing w:after="20"/>
              <w:ind w:left="20"/>
              <w:jc w:val="both"/>
            </w:pPr>
            <w:r>
              <w:rPr>
                <w:rFonts w:ascii="Times New Roman"/>
                <w:b w:val="false"/>
                <w:i w:val="false"/>
                <w:color w:val="000000"/>
                <w:sz w:val="20"/>
              </w:rPr>
              <w:t>
ПК 19 – 450</w:t>
            </w:r>
          </w:p>
          <w:p>
            <w:pPr>
              <w:spacing w:after="20"/>
              <w:ind w:left="20"/>
              <w:jc w:val="both"/>
            </w:pPr>
            <w:r>
              <w:rPr>
                <w:rFonts w:ascii="Times New Roman"/>
                <w:b w:val="false"/>
                <w:i w:val="false"/>
                <w:color w:val="000000"/>
                <w:sz w:val="20"/>
              </w:rPr>
              <w:t>
ПК 20 – 350</w:t>
            </w:r>
          </w:p>
          <w:p>
            <w:pPr>
              <w:spacing w:after="20"/>
              <w:ind w:left="20"/>
              <w:jc w:val="both"/>
            </w:pPr>
            <w:r>
              <w:rPr>
                <w:rFonts w:ascii="Times New Roman"/>
                <w:b w:val="false"/>
                <w:i w:val="false"/>
                <w:color w:val="000000"/>
                <w:sz w:val="20"/>
              </w:rPr>
              <w:t>
ПК 21 – 500</w:t>
            </w:r>
          </w:p>
          <w:p>
            <w:pPr>
              <w:spacing w:after="20"/>
              <w:ind w:left="20"/>
              <w:jc w:val="both"/>
            </w:pPr>
            <w:r>
              <w:rPr>
                <w:rFonts w:ascii="Times New Roman"/>
                <w:b w:val="false"/>
                <w:i w:val="false"/>
                <w:color w:val="000000"/>
                <w:sz w:val="20"/>
              </w:rPr>
              <w:t>
ПК 22 – 400</w:t>
            </w:r>
          </w:p>
          <w:p>
            <w:pPr>
              <w:spacing w:after="20"/>
              <w:ind w:left="20"/>
              <w:jc w:val="both"/>
            </w:pPr>
            <w:r>
              <w:rPr>
                <w:rFonts w:ascii="Times New Roman"/>
                <w:b w:val="false"/>
                <w:i w:val="false"/>
                <w:color w:val="000000"/>
                <w:sz w:val="20"/>
              </w:rPr>
              <w:t>
ПК 23 – 350</w:t>
            </w:r>
          </w:p>
          <w:p>
            <w:pPr>
              <w:spacing w:after="20"/>
              <w:ind w:left="20"/>
              <w:jc w:val="both"/>
            </w:pPr>
            <w:r>
              <w:rPr>
                <w:rFonts w:ascii="Times New Roman"/>
                <w:b w:val="false"/>
                <w:i w:val="false"/>
                <w:color w:val="000000"/>
                <w:sz w:val="20"/>
              </w:rPr>
              <w:t>
ПК 24 – 400</w:t>
            </w:r>
          </w:p>
          <w:p>
            <w:pPr>
              <w:spacing w:after="20"/>
              <w:ind w:left="20"/>
              <w:jc w:val="both"/>
            </w:pPr>
            <w:r>
              <w:rPr>
                <w:rFonts w:ascii="Times New Roman"/>
                <w:b w:val="false"/>
                <w:i w:val="false"/>
                <w:color w:val="000000"/>
                <w:sz w:val="20"/>
              </w:rPr>
              <w:t>
ПК 25 – 500</w:t>
            </w:r>
          </w:p>
          <w:p>
            <w:pPr>
              <w:spacing w:after="20"/>
              <w:ind w:left="20"/>
              <w:jc w:val="both"/>
            </w:pPr>
            <w:r>
              <w:rPr>
                <w:rFonts w:ascii="Times New Roman"/>
                <w:b w:val="false"/>
                <w:i w:val="false"/>
                <w:color w:val="000000"/>
                <w:sz w:val="20"/>
              </w:rPr>
              <w:t>
ПК 26-27 – 500</w:t>
            </w:r>
          </w:p>
          <w:p>
            <w:pPr>
              <w:spacing w:after="20"/>
              <w:ind w:left="20"/>
              <w:jc w:val="both"/>
            </w:pPr>
            <w:r>
              <w:rPr>
                <w:rFonts w:ascii="Times New Roman"/>
                <w:b w:val="false"/>
                <w:i w:val="false"/>
                <w:color w:val="000000"/>
                <w:sz w:val="20"/>
              </w:rPr>
              <w:t>
ПК 28 – 800</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ПК 0-1 – 500</w:t>
            </w:r>
          </w:p>
          <w:p>
            <w:pPr>
              <w:spacing w:after="20"/>
              <w:ind w:left="20"/>
              <w:jc w:val="both"/>
            </w:pPr>
            <w:r>
              <w:rPr>
                <w:rFonts w:ascii="Times New Roman"/>
                <w:b w:val="false"/>
                <w:i w:val="false"/>
                <w:color w:val="000000"/>
                <w:sz w:val="20"/>
              </w:rPr>
              <w:t>
ПК 2 – 500</w:t>
            </w:r>
          </w:p>
          <w:p>
            <w:pPr>
              <w:spacing w:after="20"/>
              <w:ind w:left="20"/>
              <w:jc w:val="both"/>
            </w:pPr>
            <w:r>
              <w:rPr>
                <w:rFonts w:ascii="Times New Roman"/>
                <w:b w:val="false"/>
                <w:i w:val="false"/>
                <w:color w:val="000000"/>
                <w:sz w:val="20"/>
              </w:rPr>
              <w:t>
ПК 3 – 350</w:t>
            </w:r>
          </w:p>
          <w:p>
            <w:pPr>
              <w:spacing w:after="20"/>
              <w:ind w:left="20"/>
              <w:jc w:val="both"/>
            </w:pPr>
            <w:r>
              <w:rPr>
                <w:rFonts w:ascii="Times New Roman"/>
                <w:b w:val="false"/>
                <w:i w:val="false"/>
                <w:color w:val="000000"/>
                <w:sz w:val="20"/>
              </w:rPr>
              <w:t>
ПК 4 – 450</w:t>
            </w:r>
          </w:p>
          <w:p>
            <w:pPr>
              <w:spacing w:after="20"/>
              <w:ind w:left="20"/>
              <w:jc w:val="both"/>
            </w:pPr>
            <w:r>
              <w:rPr>
                <w:rFonts w:ascii="Times New Roman"/>
                <w:b w:val="false"/>
                <w:i w:val="false"/>
                <w:color w:val="000000"/>
                <w:sz w:val="20"/>
              </w:rPr>
              <w:t>
ПК 5-7 – 500</w:t>
            </w:r>
          </w:p>
          <w:p>
            <w:pPr>
              <w:spacing w:after="20"/>
              <w:ind w:left="20"/>
              <w:jc w:val="both"/>
            </w:pPr>
            <w:r>
              <w:rPr>
                <w:rFonts w:ascii="Times New Roman"/>
                <w:b w:val="false"/>
                <w:i w:val="false"/>
                <w:color w:val="000000"/>
                <w:sz w:val="20"/>
              </w:rPr>
              <w:t>
ПК 8-9 – 250</w:t>
            </w:r>
          </w:p>
          <w:p>
            <w:pPr>
              <w:spacing w:after="20"/>
              <w:ind w:left="20"/>
              <w:jc w:val="both"/>
            </w:pPr>
            <w:r>
              <w:rPr>
                <w:rFonts w:ascii="Times New Roman"/>
                <w:b w:val="false"/>
                <w:i w:val="false"/>
                <w:color w:val="000000"/>
                <w:sz w:val="20"/>
              </w:rPr>
              <w:t>
ПК 10 – 400</w:t>
            </w:r>
          </w:p>
          <w:p>
            <w:pPr>
              <w:spacing w:after="20"/>
              <w:ind w:left="20"/>
              <w:jc w:val="both"/>
            </w:pPr>
            <w:r>
              <w:rPr>
                <w:rFonts w:ascii="Times New Roman"/>
                <w:b w:val="false"/>
                <w:i w:val="false"/>
                <w:color w:val="000000"/>
                <w:sz w:val="20"/>
              </w:rPr>
              <w:t>
ПК 11 – 450</w:t>
            </w:r>
          </w:p>
          <w:p>
            <w:pPr>
              <w:spacing w:after="20"/>
              <w:ind w:left="20"/>
              <w:jc w:val="both"/>
            </w:pPr>
            <w:r>
              <w:rPr>
                <w:rFonts w:ascii="Times New Roman"/>
                <w:b w:val="false"/>
                <w:i w:val="false"/>
                <w:color w:val="000000"/>
                <w:sz w:val="20"/>
              </w:rPr>
              <w:t>
ПК 12-13 – 500</w:t>
            </w:r>
          </w:p>
          <w:p>
            <w:pPr>
              <w:spacing w:after="20"/>
              <w:ind w:left="20"/>
              <w:jc w:val="both"/>
            </w:pPr>
            <w:r>
              <w:rPr>
                <w:rFonts w:ascii="Times New Roman"/>
                <w:b w:val="false"/>
                <w:i w:val="false"/>
                <w:color w:val="000000"/>
                <w:sz w:val="20"/>
              </w:rPr>
              <w:t>
ПК 14 – 200</w:t>
            </w:r>
          </w:p>
          <w:p>
            <w:pPr>
              <w:spacing w:after="20"/>
              <w:ind w:left="20"/>
              <w:jc w:val="both"/>
            </w:pPr>
            <w:r>
              <w:rPr>
                <w:rFonts w:ascii="Times New Roman"/>
                <w:b w:val="false"/>
                <w:i w:val="false"/>
                <w:color w:val="000000"/>
                <w:sz w:val="20"/>
              </w:rPr>
              <w:t>
ПК 15 – 500</w:t>
            </w:r>
          </w:p>
          <w:p>
            <w:pPr>
              <w:spacing w:after="20"/>
              <w:ind w:left="20"/>
              <w:jc w:val="both"/>
            </w:pPr>
            <w:r>
              <w:rPr>
                <w:rFonts w:ascii="Times New Roman"/>
                <w:b w:val="false"/>
                <w:i w:val="false"/>
                <w:color w:val="000000"/>
                <w:sz w:val="20"/>
              </w:rPr>
              <w:t>
ПК 16 – 400</w:t>
            </w:r>
          </w:p>
          <w:p>
            <w:pPr>
              <w:spacing w:after="20"/>
              <w:ind w:left="20"/>
              <w:jc w:val="both"/>
            </w:pPr>
            <w:r>
              <w:rPr>
                <w:rFonts w:ascii="Times New Roman"/>
                <w:b w:val="false"/>
                <w:i w:val="false"/>
                <w:color w:val="000000"/>
                <w:sz w:val="20"/>
              </w:rPr>
              <w:t>
ПК 17 – 750</w:t>
            </w:r>
          </w:p>
          <w:p>
            <w:pPr>
              <w:spacing w:after="20"/>
              <w:ind w:left="20"/>
              <w:jc w:val="both"/>
            </w:pPr>
            <w:r>
              <w:rPr>
                <w:rFonts w:ascii="Times New Roman"/>
                <w:b w:val="false"/>
                <w:i w:val="false"/>
                <w:color w:val="000000"/>
                <w:sz w:val="20"/>
              </w:rPr>
              <w:t>
ПК 18 – 500</w:t>
            </w:r>
          </w:p>
          <w:p>
            <w:pPr>
              <w:spacing w:after="20"/>
              <w:ind w:left="20"/>
              <w:jc w:val="both"/>
            </w:pPr>
            <w:r>
              <w:rPr>
                <w:rFonts w:ascii="Times New Roman"/>
                <w:b w:val="false"/>
                <w:i w:val="false"/>
                <w:color w:val="000000"/>
                <w:sz w:val="20"/>
              </w:rPr>
              <w:t>
ПК 19 – 400</w:t>
            </w:r>
          </w:p>
          <w:p>
            <w:pPr>
              <w:spacing w:after="20"/>
              <w:ind w:left="20"/>
              <w:jc w:val="both"/>
            </w:pPr>
            <w:r>
              <w:rPr>
                <w:rFonts w:ascii="Times New Roman"/>
                <w:b w:val="false"/>
                <w:i w:val="false"/>
                <w:color w:val="000000"/>
                <w:sz w:val="20"/>
              </w:rPr>
              <w:t>
ПК 20 – 250</w:t>
            </w:r>
          </w:p>
          <w:p>
            <w:pPr>
              <w:spacing w:after="20"/>
              <w:ind w:left="20"/>
              <w:jc w:val="both"/>
            </w:pPr>
            <w:r>
              <w:rPr>
                <w:rFonts w:ascii="Times New Roman"/>
                <w:b w:val="false"/>
                <w:i w:val="false"/>
                <w:color w:val="000000"/>
                <w:sz w:val="20"/>
              </w:rPr>
              <w:t>
ПК 21 – 350</w:t>
            </w:r>
          </w:p>
          <w:p>
            <w:pPr>
              <w:spacing w:after="20"/>
              <w:ind w:left="20"/>
              <w:jc w:val="both"/>
            </w:pPr>
            <w:r>
              <w:rPr>
                <w:rFonts w:ascii="Times New Roman"/>
                <w:b w:val="false"/>
                <w:i w:val="false"/>
                <w:color w:val="000000"/>
                <w:sz w:val="20"/>
              </w:rPr>
              <w:t>
ПК 22 – 500</w:t>
            </w:r>
          </w:p>
          <w:p>
            <w:pPr>
              <w:spacing w:after="20"/>
              <w:ind w:left="20"/>
              <w:jc w:val="both"/>
            </w:pPr>
            <w:r>
              <w:rPr>
                <w:rFonts w:ascii="Times New Roman"/>
                <w:b w:val="false"/>
                <w:i w:val="false"/>
                <w:color w:val="000000"/>
                <w:sz w:val="20"/>
              </w:rPr>
              <w:t>
ПК 23-24 – 400</w:t>
            </w:r>
          </w:p>
          <w:p>
            <w:pPr>
              <w:spacing w:after="20"/>
              <w:ind w:left="20"/>
              <w:jc w:val="both"/>
            </w:pPr>
            <w:r>
              <w:rPr>
                <w:rFonts w:ascii="Times New Roman"/>
                <w:b w:val="false"/>
                <w:i w:val="false"/>
                <w:color w:val="000000"/>
                <w:sz w:val="20"/>
              </w:rPr>
              <w:t>
ПК 25-26 – 500</w:t>
            </w:r>
          </w:p>
          <w:p>
            <w:pPr>
              <w:spacing w:after="20"/>
              <w:ind w:left="20"/>
              <w:jc w:val="both"/>
            </w:pPr>
            <w:r>
              <w:rPr>
                <w:rFonts w:ascii="Times New Roman"/>
                <w:b w:val="false"/>
                <w:i w:val="false"/>
                <w:color w:val="000000"/>
                <w:sz w:val="20"/>
              </w:rPr>
              <w:t>
ПК 27 – 500</w:t>
            </w:r>
          </w:p>
          <w:p>
            <w:pPr>
              <w:spacing w:after="20"/>
              <w:ind w:left="20"/>
              <w:jc w:val="both"/>
            </w:pPr>
            <w:r>
              <w:rPr>
                <w:rFonts w:ascii="Times New Roman"/>
                <w:b w:val="false"/>
                <w:i w:val="false"/>
                <w:color w:val="000000"/>
                <w:sz w:val="20"/>
              </w:rPr>
              <w:t>
ПК 28 – 800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p>
            <w:pPr>
              <w:spacing w:after="20"/>
              <w:ind w:left="20"/>
              <w:jc w:val="both"/>
            </w:pPr>
            <w:r>
              <w:rPr>
                <w:rFonts w:ascii="Times New Roman"/>
                <w:b w:val="false"/>
                <w:i w:val="false"/>
                <w:color w:val="000000"/>
                <w:sz w:val="20"/>
              </w:rPr>
              <w:t>
ПК 0-7 – 35</w:t>
            </w:r>
          </w:p>
          <w:p>
            <w:pPr>
              <w:spacing w:after="20"/>
              <w:ind w:left="20"/>
              <w:jc w:val="both"/>
            </w:pPr>
            <w:r>
              <w:rPr>
                <w:rFonts w:ascii="Times New Roman"/>
                <w:b w:val="false"/>
                <w:i w:val="false"/>
                <w:color w:val="000000"/>
                <w:sz w:val="20"/>
              </w:rPr>
              <w:t>
ПК 8-17 – 100</w:t>
            </w:r>
          </w:p>
          <w:p>
            <w:pPr>
              <w:spacing w:after="20"/>
              <w:ind w:left="20"/>
              <w:jc w:val="both"/>
            </w:pPr>
            <w:r>
              <w:rPr>
                <w:rFonts w:ascii="Times New Roman"/>
                <w:b w:val="false"/>
                <w:i w:val="false"/>
                <w:color w:val="000000"/>
                <w:sz w:val="20"/>
              </w:rPr>
              <w:t>
ПК 18-28 – 35</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ПК 0-1 – 35</w:t>
            </w:r>
          </w:p>
          <w:p>
            <w:pPr>
              <w:spacing w:after="20"/>
              <w:ind w:left="20"/>
              <w:jc w:val="both"/>
            </w:pPr>
            <w:r>
              <w:rPr>
                <w:rFonts w:ascii="Times New Roman"/>
                <w:b w:val="false"/>
                <w:i w:val="false"/>
                <w:color w:val="000000"/>
                <w:sz w:val="20"/>
              </w:rPr>
              <w:t>
ПК 2-15 – 100</w:t>
            </w:r>
          </w:p>
          <w:p>
            <w:pPr>
              <w:spacing w:after="20"/>
              <w:ind w:left="20"/>
              <w:jc w:val="both"/>
            </w:pPr>
            <w:r>
              <w:rPr>
                <w:rFonts w:ascii="Times New Roman"/>
                <w:b w:val="false"/>
                <w:i w:val="false"/>
                <w:color w:val="000000"/>
                <w:sz w:val="20"/>
              </w:rPr>
              <w:t>
ПК 16-28 - 35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Бөржар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Бөржар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Дермене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Шілік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Ағыбет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Төрткөл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Шілік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Біркөлік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 ПК 0-2 – 100 ПК 3-4 – 100 ПК 5-9 – 100 Оң жағалау: ПК 0-2 – 100 ПК 3-4 – 35 ПК 5-9 –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Біріншімай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Ленгерка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Леңгір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 ПК 1 – 500 ПК 2-10 – 250 Оң жағалау: ПК 1 – 500 ПК 2-10 – 250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 ПК 1 – 100 ПК 2-10 – 35 Оң жағалау: ПК 1 – 100 ПК 2-10 - 35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Тоғыс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 ПК 0-3 – 250 ПК 3-10 – 500 ПК 10-12 – 250 ПК 12-20 – 500 Оң жағалау: ПК 0-3 – 250 ПК 3-12 – 500 ПК 12-14 – 250 ПК 14-15 – 500 ПК 15-16 – 250 ПК 16-18 – 500 ПК 18-20 – 250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 ПК 0-3 – 35 ПК 3-5 – 100 ПК 5-20 – 35 Оң жағалау: ПК 0-20 - 35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Зертас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Доңғызтау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 ПК 0-1 – 600 ПК 1-6 – 500 ПК 6-7 – 300 ПК 7-9 – 400 ПК 9-11 – 500 ПК 11-12 – 600 ПК 12-13 – 400 ПК 13-23 – 500 Оң жағалау: ПК 0-1 – 600 ПК 1-23 - 500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 ПК 0-1 – 100 ПК 1-9 – 35 ПК 9-10 – 75 ПК 10-17 – 35 ПК 17-19 – 75 ПК 19-23 – 55 Оң жағалау: ПК 0-1 – 100 ПК 19-23 - 55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Біріншімамыр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Сайрамсу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Көксәйек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Зертас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Сайрам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Балдырбек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 ПК 0-7 – 500 ПК 8 – 450 ПК 9-12 – 500 ПК 13 – 450 ПК 14 – 300 ПК 15 – 350 ПК 16 – 450 ПК 17-22 – 500 ПК 23-24 – 450 ПК 25-36 – 500 Оң жағалау: ПК 0-4 – 500 ПК 5-6 – 350 ПК 7 – 250 ПК 8 – 350 ПК 9-17 – 500 ПК 18 – 450 ПК 19-22 – 500 ПК 23-24 – 450 ПК 25-36 –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 ПК 0-4 – 35 ПК 5-27 – 55 ПК 28-30 – 70 ПК 31-36 – 100 Оң жағалау:</w:t>
            </w:r>
          </w:p>
          <w:p>
            <w:pPr>
              <w:spacing w:after="20"/>
              <w:ind w:left="20"/>
              <w:jc w:val="both"/>
            </w:pPr>
            <w:r>
              <w:rPr>
                <w:rFonts w:ascii="Times New Roman"/>
                <w:b w:val="false"/>
                <w:i w:val="false"/>
                <w:color w:val="000000"/>
                <w:sz w:val="20"/>
              </w:rPr>
              <w:t>
ПК 0-4 – 35 ПК 5-27 – 55 ПК 28 – 55 ПК 29-30 – 70 ПК 31-36 - 100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Ұясай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Қазығұрт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Жігерген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p>
            <w:pPr>
              <w:spacing w:after="20"/>
              <w:ind w:left="20"/>
              <w:jc w:val="both"/>
            </w:pPr>
            <w:r>
              <w:rPr>
                <w:rFonts w:ascii="Times New Roman"/>
                <w:b w:val="false"/>
                <w:i w:val="false"/>
                <w:color w:val="000000"/>
                <w:sz w:val="20"/>
              </w:rPr>
              <w:t>
ПК 0-6 – 100</w:t>
            </w:r>
          </w:p>
          <w:p>
            <w:pPr>
              <w:spacing w:after="20"/>
              <w:ind w:left="20"/>
              <w:jc w:val="both"/>
            </w:pPr>
            <w:r>
              <w:rPr>
                <w:rFonts w:ascii="Times New Roman"/>
                <w:b w:val="false"/>
                <w:i w:val="false"/>
                <w:color w:val="000000"/>
                <w:sz w:val="20"/>
              </w:rPr>
              <w:t>
ПК 6-10 – 35</w:t>
            </w:r>
          </w:p>
          <w:p>
            <w:pPr>
              <w:spacing w:after="20"/>
              <w:ind w:left="20"/>
              <w:jc w:val="both"/>
            </w:pPr>
            <w:r>
              <w:rPr>
                <w:rFonts w:ascii="Times New Roman"/>
                <w:b w:val="false"/>
                <w:i w:val="false"/>
                <w:color w:val="000000"/>
                <w:sz w:val="20"/>
              </w:rPr>
              <w:t>
ПК 11-21 – 100</w:t>
            </w:r>
          </w:p>
          <w:p>
            <w:pPr>
              <w:spacing w:after="20"/>
              <w:ind w:left="20"/>
              <w:jc w:val="both"/>
            </w:pPr>
            <w:r>
              <w:rPr>
                <w:rFonts w:ascii="Times New Roman"/>
                <w:b w:val="false"/>
                <w:i w:val="false"/>
                <w:color w:val="000000"/>
                <w:sz w:val="20"/>
              </w:rPr>
              <w:t>
ПК 21-22 – 35</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ПК 0-6 – 100</w:t>
            </w:r>
          </w:p>
          <w:p>
            <w:pPr>
              <w:spacing w:after="20"/>
              <w:ind w:left="20"/>
              <w:jc w:val="both"/>
            </w:pPr>
            <w:r>
              <w:rPr>
                <w:rFonts w:ascii="Times New Roman"/>
                <w:b w:val="false"/>
                <w:i w:val="false"/>
                <w:color w:val="000000"/>
                <w:sz w:val="20"/>
              </w:rPr>
              <w:t>
ПК 6-11 – 35</w:t>
            </w:r>
          </w:p>
          <w:p>
            <w:pPr>
              <w:spacing w:after="20"/>
              <w:ind w:left="20"/>
              <w:jc w:val="both"/>
            </w:pPr>
            <w:r>
              <w:rPr>
                <w:rFonts w:ascii="Times New Roman"/>
                <w:b w:val="false"/>
                <w:i w:val="false"/>
                <w:color w:val="000000"/>
                <w:sz w:val="20"/>
              </w:rPr>
              <w:t>
ПК 11-20 – 100</w:t>
            </w:r>
          </w:p>
          <w:p>
            <w:pPr>
              <w:spacing w:after="20"/>
              <w:ind w:left="20"/>
              <w:jc w:val="both"/>
            </w:pPr>
            <w:r>
              <w:rPr>
                <w:rFonts w:ascii="Times New Roman"/>
                <w:b w:val="false"/>
                <w:i w:val="false"/>
                <w:color w:val="000000"/>
                <w:sz w:val="20"/>
              </w:rPr>
              <w:t>
ПК 20-22 –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Жаңабазар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Текесу тоғаны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Кемеқалған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Шілтер тоғаны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тоғаны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Киелітас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тоғаны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Біріншімамыр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Тоғыс тоғаны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тоғаны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Қызылкөл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Құмкент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су қоймасы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Жаушықұм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Ділдәбеков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Мақтарал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Мақтарал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тоғаны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Дермене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Көлкент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Көлкент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Қапшагай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Досан-Қарабас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Арыстанды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Көкібел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Көкібел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Ағанай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Бөржар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Бөржар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Теспе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Бөржар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Ақылбексай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Қошқар-ата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Таушаға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Күмісті-2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Баба-ата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Жарты-Төбе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Жарты-Төбе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Таскенсаз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Шұқырой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Торлан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Бақырлы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Ақсүмбе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Күмісті-1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Қошқорған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Ораңғай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Бабайқорған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 бұлақ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Бабайқорған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Шерт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Бабайқорған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Майдантал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Майдантал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Ырмақ өзен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Қарнақ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Ақбиік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Көксарай контрреттегіші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Ақдала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Задария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Біресек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ПК 0-2 – 100 ПК 2-3 – 35 ПК 3-4 – 100 ПК 4-5 – 35 ПК 5-6 – 100 ПК 6-7 – 35 ПК 7-22 – 35 Сол жағалау: ПК 0-2 – 100 ПК 2-3 – 35 ПК 3-5 – 35 ПК 5-6 – 100 ПК 6-7 – 35 ПК 7-22 –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Қарасуан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Балаторлан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ПК 0-12– 100 ПК 12-17 – 35 Сол жағалау: ПК 0-12– 100 ПК 12-17 –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Торлан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Жартытөбе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ПК 0-7 – 100 ПК 7-8 – 35 ПК 8-19 – 35 Сол жағалау: ПК 0-7 – 100 ПК 7-8 – 35 ПК 8-19 –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Жарты-төбе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Жартытөбе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ПК 0-8 – 100 ПК 8-9 – 35 ПК 9-11 – 35 ПК 11-12 – 100 ПК 12-26 – 35 Сол жағалау: ПК 0-8 – 100 ПК 8-9 – 35 ПК 9-11 – 35 ПК 11-12 – 100 ПК 12-26 –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Баба-ата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Жартытөбе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ПК 0-13 – 100 ПК 13-14 – 35 ПК 14-15 – 35 ПК 15-50 – 35 Сол жағалау: ПК 0-16 – 100 ПК 16-50 –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Үшбас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Құмкент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ПК 0-7 – 100 ПК 7-13 – 35 ПК 13-19 – 35 ПК 19-36 – 100 ПК 36-39 – 35 Сол жағалау: ПК 0-7 – 100 ПК 7-13 – 35 ПК 13-19 – 35 ПК 19-36 – 100 ПК 36-39 –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Жылыбұлақ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Құмкент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ПК 0-12– 100 ПК 12-15 – 35 ПК 15-20 – 35 Сол жағалау: ПК 0-11– 100 ПК 11-15 – 35 ПК 15-20 –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қарақұс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ПК 0-1– 100 ПК 1-3 – 35 ПК 3-22 – 35 Сол жағалау: ПК 0-1– 100 ПК 1-3 – 35 ПК 3-22 –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Дарбыт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ПК 0-4– 100 ПК 4-20 – 35 Сол жағалау: ПК 0-2 – 100 ПК 2-4 – 35 ПК 4-20 –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Қозмолдақ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ПК 0-3– 100 ПК 3-10 – 35 Сол жағалау: ПК 0-4 – 100 ПК 4-10 –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 ата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ПК 0-4 – 100 ПК 4-6 – 35 ПК 6-10 – 35 ПК 10-12 – 100 ПК 12-18 – 35 Сол жағалау: ПК 0-4 – 100 ПК 4-6 – 35 ПК 6-18 –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Суындық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ПК 0-10 – 100 ПК 10-12 – 35 ПК 12-17 – 35 ПК 17-19 – 35 ПК 19-57 – 35 Сол жағалау: ПК 0-10 – 100 ПК 10-12 – 35 ПК 12-17 – 35 ПК 17-19 – 35 ПК 19-57 –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Қарақұр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ПК 0-3 – 55 ПК 3-4 – 35 ПК 4-7 – 100 ПК 7-10 – 35 ПК 10-12 – 100 ПК 12-16 – 35 ПК 16-49 – 35 Сол жағалау: ПК 0-3 – 55 ПК 3-4 – 35 ПК 4-7 – 100 ПК 7-10 – 35 ПК 10-12 – 100 ПК 12-16 – 35 ПК 16-49 –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ПК 0-5– 100 ПК 5-6 – 35 ПК 6-65 – 35 Сол жағалау: ПК 0-5– 100 ПК 5-6 – 35 ПК 6-65 –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шаға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ПК 0-6– 100 ПК 6-10 – 35 ПК 10-20 – 35 Сол жағалау: ПК 0-6– 100 ПК 6-10 – 35 ПК 10-20 –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Бақырлы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ПК 0-12– 100 ПК 12-17 – 35 ПК 17-20 – 35 Сол жағалау: ПК 0-12– 100 ПК 12-17 – 35 ПК 17-20 –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Күмісті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ПК 0-4 – 55 ПК 4-15 – 100 ПК 15-25 – 35 ПК 25-30 – 35 Сол жағалау: ПК 0-4 – 55 ПК 4-11 – 100 ПК 11-13 – 35 ПК 13-15 – 100 ПК 15-25 – 35 ПК 25-30 –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Күмісті-1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Бестоғай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Бабайқорған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ПК 0-228 -100</w:t>
            </w:r>
          </w:p>
          <w:p>
            <w:pPr>
              <w:spacing w:after="20"/>
              <w:ind w:left="20"/>
              <w:jc w:val="both"/>
            </w:pPr>
            <w:r>
              <w:rPr>
                <w:rFonts w:ascii="Times New Roman"/>
                <w:b w:val="false"/>
                <w:i w:val="false"/>
                <w:color w:val="000000"/>
                <w:sz w:val="20"/>
              </w:rPr>
              <w:t>
ПК 228-284 -35</w:t>
            </w:r>
          </w:p>
          <w:p>
            <w:pPr>
              <w:spacing w:after="20"/>
              <w:ind w:left="20"/>
              <w:jc w:val="both"/>
            </w:pPr>
            <w:r>
              <w:rPr>
                <w:rFonts w:ascii="Times New Roman"/>
                <w:b w:val="false"/>
                <w:i w:val="false"/>
                <w:color w:val="000000"/>
                <w:sz w:val="20"/>
              </w:rPr>
              <w:t>
ПК 284-314-100</w:t>
            </w:r>
          </w:p>
          <w:p>
            <w:pPr>
              <w:spacing w:after="20"/>
              <w:ind w:left="20"/>
              <w:jc w:val="both"/>
            </w:pPr>
            <w:r>
              <w:rPr>
                <w:rFonts w:ascii="Times New Roman"/>
                <w:b w:val="false"/>
                <w:i w:val="false"/>
                <w:color w:val="000000"/>
                <w:sz w:val="20"/>
              </w:rPr>
              <w:t>
ПК 314-375-35</w:t>
            </w:r>
          </w:p>
          <w:p>
            <w:pPr>
              <w:spacing w:after="20"/>
              <w:ind w:left="20"/>
              <w:jc w:val="both"/>
            </w:pPr>
            <w:r>
              <w:rPr>
                <w:rFonts w:ascii="Times New Roman"/>
                <w:b w:val="false"/>
                <w:i w:val="false"/>
                <w:color w:val="000000"/>
                <w:sz w:val="20"/>
              </w:rPr>
              <w:t>
Сол жағалау:</w:t>
            </w:r>
          </w:p>
          <w:p>
            <w:pPr>
              <w:spacing w:after="20"/>
              <w:ind w:left="20"/>
              <w:jc w:val="both"/>
            </w:pPr>
            <w:r>
              <w:rPr>
                <w:rFonts w:ascii="Times New Roman"/>
                <w:b w:val="false"/>
                <w:i w:val="false"/>
                <w:color w:val="000000"/>
                <w:sz w:val="20"/>
              </w:rPr>
              <w:t xml:space="preserve">
ПК 0-289-100 </w:t>
            </w:r>
          </w:p>
          <w:p>
            <w:pPr>
              <w:spacing w:after="20"/>
              <w:ind w:left="20"/>
              <w:jc w:val="both"/>
            </w:pPr>
            <w:r>
              <w:rPr>
                <w:rFonts w:ascii="Times New Roman"/>
                <w:b w:val="false"/>
                <w:i w:val="false"/>
                <w:color w:val="000000"/>
                <w:sz w:val="20"/>
              </w:rPr>
              <w:t>
ПК 289-375-35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Ырмақсу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Қарнақ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ПК 0-190-100</w:t>
            </w:r>
          </w:p>
          <w:p>
            <w:pPr>
              <w:spacing w:after="20"/>
              <w:ind w:left="20"/>
              <w:jc w:val="both"/>
            </w:pPr>
            <w:r>
              <w:rPr>
                <w:rFonts w:ascii="Times New Roman"/>
                <w:b w:val="false"/>
                <w:i w:val="false"/>
                <w:color w:val="000000"/>
                <w:sz w:val="20"/>
              </w:rPr>
              <w:t>
ПК 200-440-35</w:t>
            </w:r>
          </w:p>
          <w:p>
            <w:pPr>
              <w:spacing w:after="20"/>
              <w:ind w:left="20"/>
              <w:jc w:val="both"/>
            </w:pPr>
            <w:r>
              <w:rPr>
                <w:rFonts w:ascii="Times New Roman"/>
                <w:b w:val="false"/>
                <w:i w:val="false"/>
                <w:color w:val="000000"/>
                <w:sz w:val="20"/>
              </w:rPr>
              <w:t>
ПК 440-626-55</w:t>
            </w:r>
          </w:p>
          <w:p>
            <w:pPr>
              <w:spacing w:after="20"/>
              <w:ind w:left="20"/>
              <w:jc w:val="both"/>
            </w:pPr>
            <w:r>
              <w:rPr>
                <w:rFonts w:ascii="Times New Roman"/>
                <w:b w:val="false"/>
                <w:i w:val="false"/>
                <w:color w:val="000000"/>
                <w:sz w:val="20"/>
              </w:rPr>
              <w:t>
ПК 626-673-35</w:t>
            </w:r>
          </w:p>
          <w:p>
            <w:pPr>
              <w:spacing w:after="20"/>
              <w:ind w:left="20"/>
              <w:jc w:val="both"/>
            </w:pPr>
            <w:r>
              <w:rPr>
                <w:rFonts w:ascii="Times New Roman"/>
                <w:b w:val="false"/>
                <w:i w:val="false"/>
                <w:color w:val="000000"/>
                <w:sz w:val="20"/>
              </w:rPr>
              <w:t>
Сол жағалау:</w:t>
            </w:r>
          </w:p>
          <w:p>
            <w:pPr>
              <w:spacing w:after="20"/>
              <w:ind w:left="20"/>
              <w:jc w:val="both"/>
            </w:pPr>
            <w:r>
              <w:rPr>
                <w:rFonts w:ascii="Times New Roman"/>
                <w:b w:val="false"/>
                <w:i w:val="false"/>
                <w:color w:val="000000"/>
                <w:sz w:val="20"/>
              </w:rPr>
              <w:t>
ПК 0-190-100</w:t>
            </w:r>
          </w:p>
          <w:p>
            <w:pPr>
              <w:spacing w:after="20"/>
              <w:ind w:left="20"/>
              <w:jc w:val="both"/>
            </w:pPr>
            <w:r>
              <w:rPr>
                <w:rFonts w:ascii="Times New Roman"/>
                <w:b w:val="false"/>
                <w:i w:val="false"/>
                <w:color w:val="000000"/>
                <w:sz w:val="20"/>
              </w:rPr>
              <w:t>
ПК 200-440-55</w:t>
            </w:r>
          </w:p>
          <w:p>
            <w:pPr>
              <w:spacing w:after="20"/>
              <w:ind w:left="20"/>
              <w:jc w:val="both"/>
            </w:pPr>
            <w:r>
              <w:rPr>
                <w:rFonts w:ascii="Times New Roman"/>
                <w:b w:val="false"/>
                <w:i w:val="false"/>
                <w:color w:val="000000"/>
                <w:sz w:val="20"/>
              </w:rPr>
              <w:t>
ПК 440-656-55</w:t>
            </w:r>
          </w:p>
          <w:p>
            <w:pPr>
              <w:spacing w:after="20"/>
              <w:ind w:left="20"/>
              <w:jc w:val="both"/>
            </w:pPr>
            <w:r>
              <w:rPr>
                <w:rFonts w:ascii="Times New Roman"/>
                <w:b w:val="false"/>
                <w:i w:val="false"/>
                <w:color w:val="000000"/>
                <w:sz w:val="20"/>
              </w:rPr>
              <w:t>
ПК 656-673-35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Жүйнек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Шорнақ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ПК 0-36-55</w:t>
            </w:r>
          </w:p>
          <w:p>
            <w:pPr>
              <w:spacing w:after="20"/>
              <w:ind w:left="20"/>
              <w:jc w:val="both"/>
            </w:pPr>
            <w:r>
              <w:rPr>
                <w:rFonts w:ascii="Times New Roman"/>
                <w:b w:val="false"/>
                <w:i w:val="false"/>
                <w:color w:val="000000"/>
                <w:sz w:val="20"/>
              </w:rPr>
              <w:t>
ПК 36-98-100</w:t>
            </w:r>
          </w:p>
          <w:p>
            <w:pPr>
              <w:spacing w:after="20"/>
              <w:ind w:left="20"/>
              <w:jc w:val="both"/>
            </w:pPr>
            <w:r>
              <w:rPr>
                <w:rFonts w:ascii="Times New Roman"/>
                <w:b w:val="false"/>
                <w:i w:val="false"/>
                <w:color w:val="000000"/>
                <w:sz w:val="20"/>
              </w:rPr>
              <w:t>
ПК 98-105-35</w:t>
            </w:r>
          </w:p>
          <w:p>
            <w:pPr>
              <w:spacing w:after="20"/>
              <w:ind w:left="20"/>
              <w:jc w:val="both"/>
            </w:pPr>
            <w:r>
              <w:rPr>
                <w:rFonts w:ascii="Times New Roman"/>
                <w:b w:val="false"/>
                <w:i w:val="false"/>
                <w:color w:val="000000"/>
                <w:sz w:val="20"/>
              </w:rPr>
              <w:t>
Сол жағалау:</w:t>
            </w:r>
          </w:p>
          <w:p>
            <w:pPr>
              <w:spacing w:after="20"/>
              <w:ind w:left="20"/>
              <w:jc w:val="both"/>
            </w:pPr>
            <w:r>
              <w:rPr>
                <w:rFonts w:ascii="Times New Roman"/>
                <w:b w:val="false"/>
                <w:i w:val="false"/>
                <w:color w:val="000000"/>
                <w:sz w:val="20"/>
              </w:rPr>
              <w:t>
ПК 0-36-55</w:t>
            </w:r>
          </w:p>
          <w:p>
            <w:pPr>
              <w:spacing w:after="20"/>
              <w:ind w:left="20"/>
              <w:jc w:val="both"/>
            </w:pPr>
            <w:r>
              <w:rPr>
                <w:rFonts w:ascii="Times New Roman"/>
                <w:b w:val="false"/>
                <w:i w:val="false"/>
                <w:color w:val="000000"/>
                <w:sz w:val="20"/>
              </w:rPr>
              <w:t>
ПК 36-95-100</w:t>
            </w:r>
          </w:p>
          <w:p>
            <w:pPr>
              <w:spacing w:after="20"/>
              <w:ind w:left="20"/>
              <w:jc w:val="both"/>
            </w:pPr>
            <w:r>
              <w:rPr>
                <w:rFonts w:ascii="Times New Roman"/>
                <w:b w:val="false"/>
                <w:i w:val="false"/>
                <w:color w:val="000000"/>
                <w:sz w:val="20"/>
              </w:rPr>
              <w:t>
ПК 95-105-35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Мамыр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ПК 0-2-55</w:t>
            </w:r>
          </w:p>
          <w:p>
            <w:pPr>
              <w:spacing w:after="20"/>
              <w:ind w:left="20"/>
              <w:jc w:val="both"/>
            </w:pPr>
            <w:r>
              <w:rPr>
                <w:rFonts w:ascii="Times New Roman"/>
                <w:b w:val="false"/>
                <w:i w:val="false"/>
                <w:color w:val="000000"/>
                <w:sz w:val="20"/>
              </w:rPr>
              <w:t>
ПК 2-36-100</w:t>
            </w:r>
          </w:p>
          <w:p>
            <w:pPr>
              <w:spacing w:after="20"/>
              <w:ind w:left="20"/>
              <w:jc w:val="both"/>
            </w:pPr>
            <w:r>
              <w:rPr>
                <w:rFonts w:ascii="Times New Roman"/>
                <w:b w:val="false"/>
                <w:i w:val="false"/>
                <w:color w:val="000000"/>
                <w:sz w:val="20"/>
              </w:rPr>
              <w:t>
Сол жағалау:</w:t>
            </w:r>
          </w:p>
          <w:p>
            <w:pPr>
              <w:spacing w:after="20"/>
              <w:ind w:left="20"/>
              <w:jc w:val="both"/>
            </w:pPr>
            <w:r>
              <w:rPr>
                <w:rFonts w:ascii="Times New Roman"/>
                <w:b w:val="false"/>
                <w:i w:val="false"/>
                <w:color w:val="000000"/>
                <w:sz w:val="20"/>
              </w:rPr>
              <w:t>
ПК 0-2-55</w:t>
            </w:r>
          </w:p>
          <w:p>
            <w:pPr>
              <w:spacing w:after="20"/>
              <w:ind w:left="20"/>
              <w:jc w:val="both"/>
            </w:pPr>
            <w:r>
              <w:rPr>
                <w:rFonts w:ascii="Times New Roman"/>
                <w:b w:val="false"/>
                <w:i w:val="false"/>
                <w:color w:val="000000"/>
                <w:sz w:val="20"/>
              </w:rPr>
              <w:t>
ПК 2-17-100</w:t>
            </w:r>
          </w:p>
          <w:p>
            <w:pPr>
              <w:spacing w:after="20"/>
              <w:ind w:left="20"/>
              <w:jc w:val="both"/>
            </w:pPr>
            <w:r>
              <w:rPr>
                <w:rFonts w:ascii="Times New Roman"/>
                <w:b w:val="false"/>
                <w:i w:val="false"/>
                <w:color w:val="000000"/>
                <w:sz w:val="20"/>
              </w:rPr>
              <w:t>
ПК 17-36-55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Иірсу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ПК 0-18-55</w:t>
            </w:r>
          </w:p>
          <w:p>
            <w:pPr>
              <w:spacing w:after="20"/>
              <w:ind w:left="20"/>
              <w:jc w:val="both"/>
            </w:pPr>
            <w:r>
              <w:rPr>
                <w:rFonts w:ascii="Times New Roman"/>
                <w:b w:val="false"/>
                <w:i w:val="false"/>
                <w:color w:val="000000"/>
                <w:sz w:val="20"/>
              </w:rPr>
              <w:t>
ПК 18-36-100</w:t>
            </w:r>
          </w:p>
          <w:p>
            <w:pPr>
              <w:spacing w:after="20"/>
              <w:ind w:left="20"/>
              <w:jc w:val="both"/>
            </w:pPr>
            <w:r>
              <w:rPr>
                <w:rFonts w:ascii="Times New Roman"/>
                <w:b w:val="false"/>
                <w:i w:val="false"/>
                <w:color w:val="000000"/>
                <w:sz w:val="20"/>
              </w:rPr>
              <w:t>
ПК 36-54-75</w:t>
            </w:r>
          </w:p>
          <w:p>
            <w:pPr>
              <w:spacing w:after="20"/>
              <w:ind w:left="20"/>
              <w:jc w:val="both"/>
            </w:pPr>
            <w:r>
              <w:rPr>
                <w:rFonts w:ascii="Times New Roman"/>
                <w:b w:val="false"/>
                <w:i w:val="false"/>
                <w:color w:val="000000"/>
                <w:sz w:val="20"/>
              </w:rPr>
              <w:t>
ПК 54-75-35</w:t>
            </w:r>
          </w:p>
          <w:p>
            <w:pPr>
              <w:spacing w:after="20"/>
              <w:ind w:left="20"/>
              <w:jc w:val="both"/>
            </w:pPr>
            <w:r>
              <w:rPr>
                <w:rFonts w:ascii="Times New Roman"/>
                <w:b w:val="false"/>
                <w:i w:val="false"/>
                <w:color w:val="000000"/>
                <w:sz w:val="20"/>
              </w:rPr>
              <w:t>
ПК 75-88-100</w:t>
            </w:r>
          </w:p>
          <w:p>
            <w:pPr>
              <w:spacing w:after="20"/>
              <w:ind w:left="20"/>
              <w:jc w:val="both"/>
            </w:pPr>
            <w:r>
              <w:rPr>
                <w:rFonts w:ascii="Times New Roman"/>
                <w:b w:val="false"/>
                <w:i w:val="false"/>
                <w:color w:val="000000"/>
                <w:sz w:val="20"/>
              </w:rPr>
              <w:t>
ПК 88-133-55</w:t>
            </w:r>
          </w:p>
          <w:p>
            <w:pPr>
              <w:spacing w:after="20"/>
              <w:ind w:left="20"/>
              <w:jc w:val="both"/>
            </w:pPr>
            <w:r>
              <w:rPr>
                <w:rFonts w:ascii="Times New Roman"/>
                <w:b w:val="false"/>
                <w:i w:val="false"/>
                <w:color w:val="000000"/>
                <w:sz w:val="20"/>
              </w:rPr>
              <w:t>
Сол жағалау:</w:t>
            </w:r>
          </w:p>
          <w:p>
            <w:pPr>
              <w:spacing w:after="20"/>
              <w:ind w:left="20"/>
              <w:jc w:val="both"/>
            </w:pPr>
            <w:r>
              <w:rPr>
                <w:rFonts w:ascii="Times New Roman"/>
                <w:b w:val="false"/>
                <w:i w:val="false"/>
                <w:color w:val="000000"/>
                <w:sz w:val="20"/>
              </w:rPr>
              <w:t>
ПК 0-18-55</w:t>
            </w:r>
          </w:p>
          <w:p>
            <w:pPr>
              <w:spacing w:after="20"/>
              <w:ind w:left="20"/>
              <w:jc w:val="both"/>
            </w:pPr>
            <w:r>
              <w:rPr>
                <w:rFonts w:ascii="Times New Roman"/>
                <w:b w:val="false"/>
                <w:i w:val="false"/>
                <w:color w:val="000000"/>
                <w:sz w:val="20"/>
              </w:rPr>
              <w:t>
ПК 18-88-100</w:t>
            </w:r>
          </w:p>
          <w:p>
            <w:pPr>
              <w:spacing w:after="20"/>
              <w:ind w:left="20"/>
              <w:jc w:val="both"/>
            </w:pPr>
            <w:r>
              <w:rPr>
                <w:rFonts w:ascii="Times New Roman"/>
                <w:b w:val="false"/>
                <w:i w:val="false"/>
                <w:color w:val="000000"/>
                <w:sz w:val="20"/>
              </w:rPr>
              <w:t>
ПК 88-135-155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Майлыкент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Пикеттің (ПК) нөмірі өзеннің ара қашықтығын көрсетеді. Мысалы: ПК1 – 1,0 шақырым, ПК2 – 2,0 шақырым.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2022 жылғы 10 қарашадағы</w:t>
            </w:r>
            <w:r>
              <w:br/>
            </w:r>
            <w:r>
              <w:rPr>
                <w:rFonts w:ascii="Times New Roman"/>
                <w:b w:val="false"/>
                <w:i w:val="false"/>
                <w:color w:val="000000"/>
                <w:sz w:val="20"/>
              </w:rPr>
              <w:t>№ 218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облысы әкімдігінің</w:t>
            </w:r>
            <w:r>
              <w:br/>
            </w:r>
            <w:r>
              <w:rPr>
                <w:rFonts w:ascii="Times New Roman"/>
                <w:b w:val="false"/>
                <w:i w:val="false"/>
                <w:color w:val="000000"/>
                <w:sz w:val="20"/>
              </w:rPr>
              <w:t>2017 жылғы 24 шілдедегі</w:t>
            </w:r>
            <w:r>
              <w:br/>
            </w:r>
            <w:r>
              <w:rPr>
                <w:rFonts w:ascii="Times New Roman"/>
                <w:b w:val="false"/>
                <w:i w:val="false"/>
                <w:color w:val="000000"/>
                <w:sz w:val="20"/>
              </w:rPr>
              <w:t>№ 200 қаулысына 2-қосымша</w:t>
            </w:r>
          </w:p>
        </w:tc>
      </w:tr>
    </w:tbl>
    <w:bookmarkStart w:name="z11" w:id="8"/>
    <w:p>
      <w:pPr>
        <w:spacing w:after="0"/>
        <w:ind w:left="0"/>
        <w:jc w:val="left"/>
      </w:pPr>
      <w:r>
        <w:rPr>
          <w:rFonts w:ascii="Times New Roman"/>
          <w:b/>
          <w:i w:val="false"/>
          <w:color w:val="000000"/>
        </w:rPr>
        <w:t xml:space="preserve"> Су нысандарының су қорғау аймақтары мен белдеулерін шаруашылықта пайдалану режимі мен ерекше жағдайлары</w:t>
      </w:r>
    </w:p>
    <w:bookmarkEnd w:id="8"/>
    <w:bookmarkStart w:name="z12" w:id="9"/>
    <w:p>
      <w:pPr>
        <w:spacing w:after="0"/>
        <w:ind w:left="0"/>
        <w:jc w:val="both"/>
      </w:pPr>
      <w:r>
        <w:rPr>
          <w:rFonts w:ascii="Times New Roman"/>
          <w:b w:val="false"/>
          <w:i w:val="false"/>
          <w:color w:val="000000"/>
          <w:sz w:val="28"/>
        </w:rPr>
        <w:t>
      1. Су қорғау белдеулерінің шегінде:</w:t>
      </w:r>
    </w:p>
    <w:bookmarkEnd w:id="9"/>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bookmarkStart w:name="z13" w:id="10"/>
    <w:p>
      <w:pPr>
        <w:spacing w:after="0"/>
        <w:ind w:left="0"/>
        <w:jc w:val="both"/>
      </w:pPr>
      <w:r>
        <w:rPr>
          <w:rFonts w:ascii="Times New Roman"/>
          <w:b w:val="false"/>
          <w:i w:val="false"/>
          <w:color w:val="000000"/>
          <w:sz w:val="28"/>
        </w:rPr>
        <w:t>
      2. Су қорғау аймақтарының шегінде:</w:t>
      </w:r>
    </w:p>
    <w:bookmarkEnd w:id="10"/>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Start w:name="z14" w:id="11"/>
    <w:p>
      <w:pPr>
        <w:spacing w:after="0"/>
        <w:ind w:left="0"/>
        <w:jc w:val="both"/>
      </w:pPr>
      <w:r>
        <w:rPr>
          <w:rFonts w:ascii="Times New Roman"/>
          <w:b w:val="false"/>
          <w:i w:val="false"/>
          <w:color w:val="000000"/>
          <w:sz w:val="28"/>
        </w:rPr>
        <w:t>
      3. Су объектілерінде және (немесе) су қорғау аймақтарында (су қорғау белдеулерінен басқа) жаңа объектілерді (ғимараттарды, құрылыстарды, олардың кешендерін және коммуникацияларды) жобалау, салу және орналастыру, сондай-ақ олар алып жатқан жер учаскелері су қорғау аймақтарына және белдеулерге немесе өзге де ерекше қорғалатын табиғи аумақтарға жатқызылғанға дейін тұрғызылған қолданыстағы объектілерді реконструкциялау (кеңейту, жаңғырту, техникалық қайта жарақтандыру, қайта бейіндеу) бассейндік инспекциялармен, қоршаған ортаны қорғау саласындағы уәкілетті мемлекеттік органмен, жер қойнауын зерттеу жөніндегі уәкілетті органмен, халықтың санитариялық-эпидемиологиялық саламаттылығы саласындағы мемлекеттік органмен, ветеринария саласындағы уәкілетті органмен, облыстың (республикалық маңызы бар қаланың, астананың) жергілікті атқарушы органдарымен келісіледі.</w:t>
      </w:r>
    </w:p>
    <w:bookmarkEnd w:id="11"/>
    <w:p>
      <w:pPr>
        <w:spacing w:after="0"/>
        <w:ind w:left="0"/>
        <w:jc w:val="both"/>
      </w:pPr>
      <w:r>
        <w:rPr>
          <w:rFonts w:ascii="Times New Roman"/>
          <w:b w:val="false"/>
          <w:i w:val="false"/>
          <w:color w:val="000000"/>
          <w:sz w:val="28"/>
        </w:rPr>
        <w:t>
      Келiсу тәртiбi Қазақстан Республикасының сәулет, қала құрылысы және құрылыс қызметi туралы заңнамасына сәйкес бекiтiлген, құрылыс саласында құрылыс салуды ұйымдастыру және рұқсат беру рәсімдерінен өту қағидаларында айқындалады.</w:t>
      </w:r>
    </w:p>
    <w:p>
      <w:pPr>
        <w:spacing w:after="0"/>
        <w:ind w:left="0"/>
        <w:jc w:val="both"/>
      </w:pPr>
      <w:r>
        <w:rPr>
          <w:rFonts w:ascii="Times New Roman"/>
          <w:b w:val="false"/>
          <w:i w:val="false"/>
          <w:color w:val="000000"/>
          <w:sz w:val="28"/>
        </w:rPr>
        <w:t>
      Ықтимал сел қаупі бар су объектілеріндегі нақ осындай қызмет - азаматтық қорғау саласындағы уәкілетті органмен, ал су кемелері қатынайтын су жолдарында су көлігі мәселелері жөніндегі уәкілетті органмен келісіледі.</w:t>
      </w:r>
    </w:p>
    <w:bookmarkStart w:name="z15" w:id="12"/>
    <w:p>
      <w:pPr>
        <w:spacing w:after="0"/>
        <w:ind w:left="0"/>
        <w:jc w:val="both"/>
      </w:pPr>
      <w:r>
        <w:rPr>
          <w:rFonts w:ascii="Times New Roman"/>
          <w:b w:val="false"/>
          <w:i w:val="false"/>
          <w:color w:val="000000"/>
          <w:sz w:val="28"/>
        </w:rPr>
        <w:t>
      4. Қолданылуы су объектілерінің жай-күйіне теріс әсер етуі мүмкін жаңа объектілердің құрылысын немесе қолданыстағыларын реконструкциялау (кеңейту, жаңғырту, техникалық қайта жарақтандыру, қайта бейіндеу) жобаларында техникалық сумен жабдықтаудың тұйық (ақпайтын) жүйесі көзделуге тиіс.</w:t>
      </w:r>
    </w:p>
    <w:bookmarkEnd w:id="12"/>
    <w:bookmarkStart w:name="z16" w:id="13"/>
    <w:p>
      <w:pPr>
        <w:spacing w:after="0"/>
        <w:ind w:left="0"/>
        <w:jc w:val="both"/>
      </w:pPr>
      <w:r>
        <w:rPr>
          <w:rFonts w:ascii="Times New Roman"/>
          <w:b w:val="false"/>
          <w:i w:val="false"/>
          <w:color w:val="000000"/>
          <w:sz w:val="28"/>
        </w:rPr>
        <w:t>
      5. Су объектілерінің жай-күйіне теріс әсер етуі мүмкін қолданыстағы (салынып жатқан) объектілерді консервациялау және жою (кейіннен кәдеге жарату)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жер қойнауын зерттеу жөніндегі уәкілетті органмен және өзге де мемлекеттік органдармен келісім бойынша Қазақстан Республикасының заңдарында белгіленген тәртіппен жүргізіледі.</w:t>
      </w:r>
    </w:p>
    <w:bookmarkEnd w:id="13"/>
    <w:bookmarkStart w:name="z17" w:id="14"/>
    <w:p>
      <w:pPr>
        <w:spacing w:after="0"/>
        <w:ind w:left="0"/>
        <w:jc w:val="both"/>
      </w:pPr>
      <w:r>
        <w:rPr>
          <w:rFonts w:ascii="Times New Roman"/>
          <w:b w:val="false"/>
          <w:i w:val="false"/>
          <w:color w:val="000000"/>
          <w:sz w:val="28"/>
        </w:rPr>
        <w:t>
      6. Су объектілерінің аумағы арқылы көліктік немесе инженерлік коммуникациялар салу жобалары тасқын суларды өткізуді, су объектілерін пайдалану режимін, судың ластануын, қоқыстануын және сарқылуын болғызбауды, олардың зиянды әсерінің алдын алуды қамтамасыз ететін іс-шаралардың жүргізілуін көздеуге тиіс.</w:t>
      </w:r>
    </w:p>
    <w:bookmarkEnd w:id="14"/>
    <w:p>
      <w:pPr>
        <w:spacing w:after="0"/>
        <w:ind w:left="0"/>
        <w:jc w:val="both"/>
      </w:pPr>
      <w:r>
        <w:rPr>
          <w:rFonts w:ascii="Times New Roman"/>
          <w:b w:val="false"/>
          <w:i w:val="false"/>
          <w:color w:val="000000"/>
          <w:sz w:val="28"/>
        </w:rPr>
        <w:t>
      Көрсетілген жобалар бассейндік инспекциялармен, қоршаған ортаны қорғау саласындағы уәкілетті органмен, жер қойнауын зерттеу жөніндегі уәкілетті органмен, халықтың санитариялық-эпидемиологиялық саламаттылығы саласындағы мемлекеттік органмен, энергиямен жабдықтау саласындағы уәкілетті органмен келісілуге жатады.</w:t>
      </w:r>
    </w:p>
    <w:bookmarkStart w:name="z18" w:id="15"/>
    <w:p>
      <w:pPr>
        <w:spacing w:after="0"/>
        <w:ind w:left="0"/>
        <w:jc w:val="both"/>
      </w:pPr>
      <w:r>
        <w:rPr>
          <w:rFonts w:ascii="Times New Roman"/>
          <w:b w:val="false"/>
          <w:i w:val="false"/>
          <w:color w:val="000000"/>
          <w:sz w:val="28"/>
        </w:rPr>
        <w:t>
      7.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аймақтары мен белдеулерінде кәсіпорындар, ғимараттар, құрылыстар мен коммуникациялар салуға (реконструкциялауға, күрделі жөндеуге) жол берілмейді.</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