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dfa5" w14:textId="72c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19 қыркүйектегі № 198 қаулысы. Қазақстан Республикасының Әділет министрлігінде 2022 жылғы 21 қыркүйекте № 29719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бұйрығымен (Нормативтік құқықтық актілерді мемлекеттік тіркеу тізілімінде № 18404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2022 жылға арналған Атырау облысы бойынша ауыл шаруашылығы жануарларының аналық басының азығына жұмсалған шығындар құнын арзандатуға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, субсидиялар алушыларға қойылатын өлшемшарттар, субсидиялар алуға арналған өтінім беру мерзімдері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берген сәтте (13 айдан асқан сиыр мен қашарлардың) меншікті аналық басының 600 бастан кем емес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20 қыркүйектен бастап 20 желтоқсанға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(18 айдан асқан сиыр мен қашарлардың) меншікті аналық басының 25 бастан кем емес болуы;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қарашадан бастап 20 желтоқсанға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(12 айдан асқан аналықтардың) меншікті аналық басының қойлардың 200 бастан кем емес болуы;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(36 айдан асқан аналық бас) меншікті аналық басының 50 бастан кем емес болуы;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(36 айдан асқан аналық бас) меншікті аналық басының 50 бастан кем емес болуы;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