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3c32" w14:textId="0343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Павлодар облысы Железин ауданының әкімдігінің 2022 жылғы 29 қарашадағы № 308/10 қаулысы. Қазақстан Республикасының Әділет министрлігінде 2022 жылғы 30 желтоқсанда № 30865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Железин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"Железин ауданының экономиканың нақты секторы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Железин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23 қарашадағы № 308/10</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Железин ауданының елді мекендеріне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Железин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Железин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9"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p>
      <w:pPr>
        <w:spacing w:after="0"/>
        <w:ind w:left="0"/>
        <w:jc w:val="both"/>
      </w:pPr>
      <w:r>
        <w:rPr>
          <w:rFonts w:ascii="Times New Roman"/>
          <w:b w:val="false"/>
          <w:i w:val="false"/>
          <w:color w:val="000000"/>
          <w:sz w:val="28"/>
        </w:rPr>
        <w:t>
      3. "Железин ауданының экономиканың нақты секторы бөлімі" мемлекеттік мекемесі (бұдан әрі - Бөлім) ауданға немесе оның бір бөлігіне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Бөлім мемлекеттік мекемесі Қағидалардың 3-тармағында көрсетілген көппәтерлі тұрғын үйлердің тізбесін айқындағаннан кейін ауданға немесе оның бір бөлігіне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Железин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0" w:id="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Ағымдағы жөндеудің сметалық құны бекітілгеннен сон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1" w:id="9"/>
    <w:p>
      <w:pPr>
        <w:spacing w:after="0"/>
        <w:ind w:left="0"/>
        <w:jc w:val="left"/>
      </w:pPr>
      <w:r>
        <w:rPr>
          <w:rFonts w:ascii="Times New Roman"/>
          <w:b/>
          <w:i w:val="false"/>
          <w:color w:val="000000"/>
        </w:rPr>
        <w:t xml:space="preserve"> 4-тарау. Қорытынды ережелер</w:t>
      </w:r>
    </w:p>
    <w:bookmarkEnd w:id="9"/>
    <w:p>
      <w:pPr>
        <w:spacing w:after="0"/>
        <w:ind w:left="0"/>
        <w:jc w:val="both"/>
      </w:pPr>
      <w:r>
        <w:rPr>
          <w:rFonts w:ascii="Times New Roman"/>
          <w:b w:val="false"/>
          <w:i w:val="false"/>
          <w:color w:val="000000"/>
          <w:sz w:val="28"/>
        </w:rPr>
        <w:t>
      14. Железин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