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5a0c" w14:textId="b985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әкімдігінің 2019 жылғы 2 тамыздағы № 105 "Азаматтық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2022 жылғы 14 ақпандағы № 18 қаулысы. Қазақстан Республикасының Әділет министрлігінде 2022 жылғы 21 ақпанда № 26858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әкімдігінің 2019 жылғы 2 тамыздағы № 105 "Азаматтық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8612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істейтін әлеуметтік қамсыздандыру, мәдениет, спорт және тілдерді дамыту саласындағы мамандар лауазымдарының тізбесін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қызметшілер болып табылатын және ауылдық жерде жұмыс істейтін әлеуметтік қамсыздандыру, мәдениет, спорт және тілдерді дамыту саласындағы мамандар лауазымдарының тізбесі осы қаулының қосымшасына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экономика және қаржы бөлімі" мемлекеттік мекемесі Қазақстан Республикасының заңнамасында белгіленген тәртіппен осы қаулының Қазақстан Республикасының Әділет министрлігінде мемлекеттік тіркелуін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мәдениет, спорт және тілдерді дамыту саласындағы мамандар лауазымдарының тізбесі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маман;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 жұмыспен қамту орталығының (қызметінің) құрылымдық бөлімшесінің маманы;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жөніндегі консультант;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психоневрологиялық аурулары бар мүгедек балалар мен 18 жастан асқан мүгедектерге күтім жасау жөніндегі әлеуметтік қызметкер.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 және мемлекеттік қазыналық кәсіпорын басшысы (директоры);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 (негізгі қызметтер);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барлық атаудағы суретшілер (негізгі қызметтер);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кітапханашы;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кітапхана басшысы (меңгерушісі);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әртістері;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режиссер;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 (негізгі қызметтер);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барлық атаудағы әдістемеші (негізгі қызметтер);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әкімші (негізгі қызметтер);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дирижер;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библиограф;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аудандық маңызы бар мемлекеттік мекемесінің және мемлекеттік коммуналдық кәсіпорынның көркемдік жетекшісі;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аудандық маңызы бар мемлекеттік мекеме және мемлекеттік қазыналық кәсіпорын басшысының (директорының) орынбасары;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хореограф;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дыбыс режиссері.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саласындағы мамандардың лауазымдары: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әдіскер.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Тілдерді дамыту саласындағы мамандардың лауазымдары: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қазақ, орыс, ағылшын тілдер мұғалімі.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