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a92e" w14:textId="1ab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2022 жылғы 15 қарашадағы № 98 қаулысы. Қазақстан Республикасының Әділет министрлігінде 2022 жылы 21 қарашада № 30639 болып тіркелді. Күші жойылды Жетісу облысы әкімдігінің 2025 жылғы 30 шілдедегі № 234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Жетісу облысы әкімдігінің 30.07.2025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облыс әкімдігінің интернет-ресурсында орналастырылуын.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15 қарашадағы №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әкімдігінің 20.03.2024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түрлері, спорттың ойын түрлері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жіктелуі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командалардың жетекшілері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және қысқы Олимпиада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Олимпиада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Қазақстан Республикасының чемпионаты, ересектер арасында Қазақстан Республикасының Спартакиадасы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Қазақстан Республикасының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Қазақстан Республикасының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Көшпенділер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Қазақстан Республикасының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 және Сурдлимпиада спорт түрлері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және қысқы Сурдлимпиада және Паралимпиада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Паралимпиада және Сурдлимпиада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Олимпиада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 Әлем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Азия чемпионаты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Қазақстан Республикасының чемпионаты, ересектер арасында Қазақстан Республикасының Спартакиадасы, Қазақстан Республикасының Параолимпиада ойындары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