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cae9" w14:textId="81cc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Жамбыл облыстық мәслихатының 2022 жылғы 14 желтоқсандағы № 23-8 шешімі. Қазақстан Республикасының Әділет министрлігінде 2022 жылғы 22 желтоқсанда № 31213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және Қазақстан Республикасы Индустрия және инфрақұрылымдық даму министрінің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2021 жылғы 27 тамыздағы № 470 бұйрығына (Нормативтік құқықтық актілерді мемлекеттік тіркеу тізілімінде </w:t>
      </w:r>
      <w:r>
        <w:rPr>
          <w:rFonts w:ascii="Times New Roman"/>
          <w:b w:val="false"/>
          <w:i w:val="false"/>
          <w:color w:val="000000"/>
          <w:sz w:val="28"/>
        </w:rPr>
        <w:t>№ 24170</w:t>
      </w:r>
      <w:r>
        <w:rPr>
          <w:rFonts w:ascii="Times New Roman"/>
          <w:b w:val="false"/>
          <w:i w:val="false"/>
          <w:color w:val="000000"/>
          <w:sz w:val="28"/>
        </w:rPr>
        <w:t xml:space="preserve"> болып тіркелген) сәйкес, Жамбыл облыстық мәслихаты ШЕШТІ:</w:t>
      </w:r>
    </w:p>
    <w:bookmarkStart w:name="z8" w:id="0"/>
    <w:p>
      <w:pPr>
        <w:spacing w:after="0"/>
        <w:ind w:left="0"/>
        <w:jc w:val="both"/>
      </w:pPr>
      <w:r>
        <w:rPr>
          <w:rFonts w:ascii="Times New Roman"/>
          <w:b w:val="false"/>
          <w:i w:val="false"/>
          <w:color w:val="000000"/>
          <w:sz w:val="28"/>
        </w:rPr>
        <w:t>
      1. Жамбыл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0"/>
    <w:bookmarkStart w:name="z9" w:id="1"/>
    <w:p>
      <w:pPr>
        <w:spacing w:after="0"/>
        <w:ind w:left="0"/>
        <w:jc w:val="both"/>
      </w:pPr>
      <w:r>
        <w:rPr>
          <w:rFonts w:ascii="Times New Roman"/>
          <w:b w:val="false"/>
          <w:i w:val="false"/>
          <w:color w:val="000000"/>
          <w:sz w:val="28"/>
        </w:rPr>
        <w:t>
      1) қосылған құн салығын ескере отырып, ауызсуды есепке алу аспаптары бар тұтынушылар үшін – 30 теңге;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қосылған құн салығын ескере отырып, ауызсуды есепке алу аспаптары жоқ тұтынушылар үшін – 40 теңге;</w:t>
      </w:r>
    </w:p>
    <w:bookmarkStart w:name="z11"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