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f861" w14:textId="809f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салық салу объектісінің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2022 жылғы 5 қазандағы № 272 қаулысы. Қазақстан Республикасының Әділет министрлігінде 2022 жылы 21 қазанда № 30254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01.01.2023 бастап қолданысқа енгiзiледi - осы шешімінің </w:t>
      </w:r>
      <w:r>
        <w:rPr>
          <w:rFonts w:ascii="Times New Roman"/>
          <w:b w:val="false"/>
          <w:i w:val="false"/>
          <w:color w:val="ff0000"/>
          <w:sz w:val="28"/>
        </w:rPr>
        <w:t>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ауданының салық салу объектісінің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Райымбек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5 қазандағы № 272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салық салу объектісінің елді мекендерінде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коэффиценттер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Нарынқол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Қызылшекара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Текес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Шәлкөде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Шәлкөде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