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8642" w14:textId="13a8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Темір аудандық мәслихатының 2022 жылғы 15 қарашадағы № 248 шешімі. Қазақстан Республикасының Әділет министрлігінде 2022 жылғы 16 қарашада № 30554 болып тіркелді</w:t>
      </w:r>
    </w:p>
    <w:p>
      <w:pPr>
        <w:spacing w:after="0"/>
        <w:ind w:left="0"/>
        <w:jc w:val="both"/>
      </w:pPr>
      <w:bookmarkStart w:name="z2"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w:t>
      </w:r>
      <w:r>
        <w:rPr>
          <w:rFonts w:ascii="Times New Roman"/>
          <w:b w:val="false"/>
          <w:i w:val="false"/>
          <w:color w:val="000000"/>
          <w:sz w:val="28"/>
        </w:rPr>
        <w:t xml:space="preserve"> 4) тармақшасына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15 қарашадағы </w:t>
            </w:r>
            <w:r>
              <w:br/>
            </w:r>
            <w:r>
              <w:rPr>
                <w:rFonts w:ascii="Times New Roman"/>
                <w:b w:val="false"/>
                <w:i w:val="false"/>
                <w:color w:val="000000"/>
                <w:sz w:val="20"/>
              </w:rPr>
              <w:t>№ 248 шешіміне қосымша</w:t>
            </w:r>
          </w:p>
        </w:tc>
      </w:tr>
    </w:tbl>
    <w:bookmarkStart w:name="z6" w:id="3"/>
    <w:p>
      <w:pPr>
        <w:spacing w:after="0"/>
        <w:ind w:left="0"/>
        <w:jc w:val="left"/>
      </w:pPr>
      <w:r>
        <w:rPr>
          <w:rFonts w:ascii="Times New Roman"/>
          <w:b/>
          <w:i w:val="false"/>
          <w:color w:val="000000"/>
        </w:rPr>
        <w:t xml:space="preserve"> Темір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7" w:id="4"/>
    <w:p>
      <w:pPr>
        <w:spacing w:after="0"/>
        <w:ind w:left="0"/>
        <w:jc w:val="both"/>
      </w:pPr>
      <w:r>
        <w:rPr>
          <w:rFonts w:ascii="Times New Roman"/>
          <w:b w:val="false"/>
          <w:i w:val="false"/>
          <w:color w:val="000000"/>
          <w:sz w:val="28"/>
        </w:rPr>
        <w:t xml:space="preserve">
      1. Осы Темір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(бұдан әрі -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"Темір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bookmarkStart w:name="z9"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24.04.2023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(бұдан әрі – Мемлекеттік корпорация) арқылы уәкілетті органға немесе "электрондық үкімет" веб–порталы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24.04.2023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оқу жылының 9 айы ішінде (қыркүйектен мамырға дейін) ай сайын екі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