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b518" w14:textId="586b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және мәдениет саласындағы мамандарға жиырма бес пайызға 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Ақмола облысы Бұланды аудандық мәслихатының 2022 жылғы 18 сәуірдегі № 7С-20/2 шешімі. Қазақстан Республикасының Әділет министрлігінде 2022 жылғы 25 сәуірде № 27744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Бұланды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3" w:id="2"/>
    <w:p>
      <w:pPr>
        <w:spacing w:after="0"/>
        <w:ind w:left="0"/>
        <w:jc w:val="both"/>
      </w:pPr>
      <w:r>
        <w:rPr>
          <w:rFonts w:ascii="Times New Roman"/>
          <w:b w:val="false"/>
          <w:i w:val="false"/>
          <w:color w:val="000000"/>
          <w:sz w:val="28"/>
        </w:rPr>
        <w:t>
      2. Осы шешiм 2022 жылдың 1 қаңтарынан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