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7b1" w14:textId="a16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Көкшетау қаласының құрамдас бөліктерін атау беру және қайта атау, көшенің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14 қыркүйектегі № А-9/437 және Ақмола облысы мәслихатының 2022 жылғы 14 қыркүйектегі № 7С-20-4 бірлескен қаулысы мен шешімі. Қазақстан Республикасының Әділет министрлігінде 2022 жылғы 15 қыркүйекте № 29590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2019 жылғы 26 желтоқсандағы қорытындысы негізінде және Көкшетау қаласы халқының пікірін ескере отырып,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Краснояр тас жолындағы саяжайларға қарама-қарсы орналасқан Көкшетау қаласындағы тұрғын алабына "Құлагер" шағын ауданы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қаласының келесі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Акан көшесін Қасым Қайсенов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көшесін Әміре Қашаубаев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көшесін Талғат Бигелдинов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Воровской көшесін Сағадат Нұрмағанбетов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Дроздова көшесін Мұстафа Шоқай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Землячки көшесін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Корчагин көшесін Ағыбай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Купрач көшесін Тұрсынбек Кәкішев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көшесін Рахымжан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көшесін Ермек Серкебаев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Пик көшесін Мұса Асайынов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көшесін Нұрғиса Тілендиев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Стасова көшесін Әлкей Марғұлан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 Фрадкин көшесін Шәмші Қалдаяқов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көшесін Халифа Алтай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көшесін Сәбит Мұқанов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Генрих Гейне көшесін Тәттімбет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көшесін Рамазан Елебаев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Потанин көшесін Міржақып Дулатұлы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Серов көшесін Күләш Байсейітова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Көкшетау қаласындағы "Еркеш Ибрагимов" көшесінің транскрипциясы "Еркеш Ибраһим" көшесіне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