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87b2" w14:textId="bef8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операторына қатысты Қазақстан Республикасының лотереялар және лотерея қызметі туралы заңнамасын сақтаудың мемлекеттік бақылау саласындағы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22 желтоқсандағы № 380 және Қазақстан Республикасы Ұлттық экономика министрінің 2022 жылғы 22 желтоқсандағы № 136 бірлескен бұйрығы. Қазақстан Республикасының Әділет министрлігінде 2022 жылғы 23 желтоқсанда № 31230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"Лотерея операторына қатысты Қазақстан Республикасының лотереялар және лотерея қызметі туралы заңнамасын сақтаудың мемлекеттік бақылау саласындағы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14142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осы бірлескен бұйрыққа 1-1-қосымшаға сәйкес лотерея операторына қатысты Қазақстан Республикасының лотереялар және лотерея қызметі туралы заңнамасының сақталуына тәуекел дәрежесін бағалаудың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лотерея операторына қатысты Қазақстан Республикасының лотерея және лотерея қызметі туралы заңнамасын сақтаудың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бірлескен бұйрыққа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3"/>
    <w:bookmarkStart w:name="z12"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w:t>
      </w:r>
    </w:p>
    <w:bookmarkEnd w:id="6"/>
    <w:bookmarkStart w:name="z15"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7"/>
    <w:bookmarkStart w:name="z16" w:id="8"/>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түрде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xml:space="preserve">№ 136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22 желтоқсандағы</w:t>
            </w:r>
            <w:r>
              <w:br/>
            </w:r>
            <w:r>
              <w:rPr>
                <w:rFonts w:ascii="Times New Roman"/>
                <w:b w:val="false"/>
                <w:i w:val="false"/>
                <w:color w:val="000000"/>
                <w:sz w:val="20"/>
              </w:rPr>
              <w:t>№ 380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195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2016 жылғы 18 шілдедегі </w:t>
            </w:r>
            <w:r>
              <w:br/>
            </w:r>
            <w:r>
              <w:rPr>
                <w:rFonts w:ascii="Times New Roman"/>
                <w:b w:val="false"/>
                <w:i w:val="false"/>
                <w:color w:val="000000"/>
                <w:sz w:val="20"/>
              </w:rPr>
              <w:t xml:space="preserve">№ 323 бірлескен бұйрығына </w:t>
            </w:r>
            <w:r>
              <w:br/>
            </w:r>
            <w:r>
              <w:rPr>
                <w:rFonts w:ascii="Times New Roman"/>
                <w:b w:val="false"/>
                <w:i w:val="false"/>
                <w:color w:val="000000"/>
                <w:sz w:val="20"/>
              </w:rPr>
              <w:t>1-1-қосымша</w:t>
            </w:r>
          </w:p>
        </w:tc>
      </w:tr>
    </w:tbl>
    <w:bookmarkStart w:name="z19" w:id="9"/>
    <w:p>
      <w:pPr>
        <w:spacing w:after="0"/>
        <w:ind w:left="0"/>
        <w:jc w:val="left"/>
      </w:pPr>
      <w:r>
        <w:rPr>
          <w:rFonts w:ascii="Times New Roman"/>
          <w:b/>
          <w:i w:val="false"/>
          <w:color w:val="000000"/>
        </w:rPr>
        <w:t xml:space="preserve"> Лотерея және лотерея қызметінің операторына арналған Қазақстан Республикасының лотерея және лотерея қызметі туралы заңнаманы сақтаудағы тәуекел дәрежесін бағалаудың өлшемшарттары</w:t>
      </w:r>
    </w:p>
    <w:bookmarkEnd w:id="9"/>
    <w:bookmarkStart w:name="z20"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лотереялар және лотерея қызметі туралы заңнамасының сақталуына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лотерея және лотерея қызметі саласындағы бақылау субъектілерін іріктеу үшін және оларды бақылау субъектісіне бару арқылы профилактикалық бақылау жүргізу кезінде тәуекелдер дәрежесіне жатқызуға арналған.</w:t>
      </w:r>
    </w:p>
    <w:bookmarkStart w:name="z22"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23" w:id="12"/>
    <w:p>
      <w:pPr>
        <w:spacing w:after="0"/>
        <w:ind w:left="0"/>
        <w:jc w:val="both"/>
      </w:pPr>
      <w:r>
        <w:rPr>
          <w:rFonts w:ascii="Times New Roman"/>
          <w:b w:val="false"/>
          <w:i w:val="false"/>
          <w:color w:val="000000"/>
          <w:sz w:val="28"/>
        </w:rPr>
        <w:t>
      1) бақылау субъектісі – қызметі бақыланатын лотереяларды өткізу жөніндегі қызметті жүзеге асыратын, Қазақстан Республикасының Үкіметі айқындайтын заңды тұлға;</w:t>
      </w:r>
    </w:p>
    <w:bookmarkEnd w:id="12"/>
    <w:bookmarkStart w:name="z24" w:id="13"/>
    <w:p>
      <w:pPr>
        <w:spacing w:after="0"/>
        <w:ind w:left="0"/>
        <w:jc w:val="both"/>
      </w:pPr>
      <w:r>
        <w:rPr>
          <w:rFonts w:ascii="Times New Roman"/>
          <w:b w:val="false"/>
          <w:i w:val="false"/>
          <w:color w:val="000000"/>
          <w:sz w:val="28"/>
        </w:rPr>
        <w:t>
      2) болмашы бұзушылықтар – Қазақстан Республикасының лотереялар және лотерея қызметі туралы заңнамасының талаптарын бұзушылықтар, оларды сақтамау жеке және заңды тұлғалардың, мемлекеттің заңды мүдделеріне қатер төндірмейді;</w:t>
      </w:r>
    </w:p>
    <w:bookmarkEnd w:id="13"/>
    <w:bookmarkStart w:name="z25" w:id="14"/>
    <w:p>
      <w:pPr>
        <w:spacing w:after="0"/>
        <w:ind w:left="0"/>
        <w:jc w:val="both"/>
      </w:pPr>
      <w:r>
        <w:rPr>
          <w:rFonts w:ascii="Times New Roman"/>
          <w:b w:val="false"/>
          <w:i w:val="false"/>
          <w:color w:val="000000"/>
          <w:sz w:val="28"/>
        </w:rPr>
        <w:t>
      3) елеулі бұзушылықтар – Қазақстан Республикасының лотереялар және лотерея қызметі туралы заңнамасының талаптарын бұзу, оларды сақтамау жеке және заңды тұлғалардың, мемлекеттің заңды мүдделеріне елеулі қатер төндірмейді;</w:t>
      </w:r>
    </w:p>
    <w:bookmarkEnd w:id="14"/>
    <w:bookmarkStart w:name="z26" w:id="15"/>
    <w:p>
      <w:pPr>
        <w:spacing w:after="0"/>
        <w:ind w:left="0"/>
        <w:jc w:val="both"/>
      </w:pPr>
      <w:r>
        <w:rPr>
          <w:rFonts w:ascii="Times New Roman"/>
          <w:b w:val="false"/>
          <w:i w:val="false"/>
          <w:color w:val="000000"/>
          <w:sz w:val="28"/>
        </w:rPr>
        <w:t>
      4) өрескел бұзушылықтар –жеке және заңды тұлғалардың, мемлекеттің құқықтарының, заңды мүдделерінің елеулі бұзылуына әкеп соғуы мүмкін Қазақстан Республикасының лотереялар және лотерея қызметі туралы заңнамасының талаптарын бұзу.</w:t>
      </w:r>
    </w:p>
    <w:bookmarkEnd w:id="15"/>
    <w:bookmarkStart w:name="z27" w:id="16"/>
    <w:p>
      <w:pPr>
        <w:spacing w:after="0"/>
        <w:ind w:left="0"/>
        <w:jc w:val="both"/>
      </w:pPr>
      <w:r>
        <w:rPr>
          <w:rFonts w:ascii="Times New Roman"/>
          <w:b w:val="false"/>
          <w:i w:val="false"/>
          <w:color w:val="000000"/>
          <w:sz w:val="28"/>
        </w:rPr>
        <w:t>
      5)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28" w:id="17"/>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7"/>
    <w:bookmarkStart w:name="z29" w:id="18"/>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8"/>
    <w:bookmarkStart w:name="z30" w:id="19"/>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9"/>
    <w:bookmarkStart w:name="z31" w:id="20"/>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субъектісін бақылау субъектісіне бару арқылы профилактикалық бақылаудан босату процесі;</w:t>
      </w:r>
    </w:p>
    <w:bookmarkEnd w:id="20"/>
    <w:bookmarkStart w:name="z32" w:id="21"/>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1"/>
    <w:bookmarkStart w:name="z33" w:id="2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еселігі жүргізілетін талдау және субъективті өлшемдер бойынша алынатын мәліметтерді бағалау нәтижелері бойынша, бірақ жылына бір реттен жиілетпей айқындалады.</w:t>
      </w:r>
    </w:p>
    <w:bookmarkEnd w:id="22"/>
    <w:bookmarkStart w:name="z34" w:id="23"/>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23"/>
    <w:bookmarkStart w:name="z35" w:id="24"/>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24"/>
    <w:bookmarkStart w:name="z36" w:id="25"/>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25"/>
    <w:bookmarkStart w:name="z37" w:id="26"/>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26"/>
    <w:bookmarkStart w:name="z38" w:id="27"/>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жүзеге асыру кезінде бақылау субъектілері (объектілері) мынадай тәуекел дәрежелерінің біріне (бұдан әрі – тәуекел дәрежесі) жатады:</w:t>
      </w:r>
    </w:p>
    <w:bookmarkEnd w:id="27"/>
    <w:bookmarkStart w:name="z39" w:id="28"/>
    <w:p>
      <w:pPr>
        <w:spacing w:after="0"/>
        <w:ind w:left="0"/>
        <w:jc w:val="both"/>
      </w:pPr>
      <w:r>
        <w:rPr>
          <w:rFonts w:ascii="Times New Roman"/>
          <w:b w:val="false"/>
          <w:i w:val="false"/>
          <w:color w:val="000000"/>
          <w:sz w:val="28"/>
        </w:rPr>
        <w:t>
      1) жоғары тәуекел;</w:t>
      </w:r>
    </w:p>
    <w:bookmarkEnd w:id="28"/>
    <w:bookmarkStart w:name="z40" w:id="29"/>
    <w:p>
      <w:pPr>
        <w:spacing w:after="0"/>
        <w:ind w:left="0"/>
        <w:jc w:val="both"/>
      </w:pPr>
      <w:r>
        <w:rPr>
          <w:rFonts w:ascii="Times New Roman"/>
          <w:b w:val="false"/>
          <w:i w:val="false"/>
          <w:color w:val="000000"/>
          <w:sz w:val="28"/>
        </w:rPr>
        <w:t>
      2) орташа тәуекел;</w:t>
      </w:r>
    </w:p>
    <w:bookmarkEnd w:id="29"/>
    <w:bookmarkStart w:name="z41" w:id="30"/>
    <w:p>
      <w:pPr>
        <w:spacing w:after="0"/>
        <w:ind w:left="0"/>
        <w:jc w:val="both"/>
      </w:pPr>
      <w:r>
        <w:rPr>
          <w:rFonts w:ascii="Times New Roman"/>
          <w:b w:val="false"/>
          <w:i w:val="false"/>
          <w:color w:val="000000"/>
          <w:sz w:val="28"/>
        </w:rPr>
        <w:t>
      3) төмен тәуекел.</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Start w:name="z43" w:id="3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1"/>
    <w:bookmarkStart w:name="z44" w:id="3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2"/>
    <w:bookmarkStart w:name="z45" w:id="3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3"/>
    <w:bookmarkStart w:name="z46" w:id="3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4"/>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субъектілері (объектілері) үшін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жоспардан тыс тексеру жүргізіледі.</w:t>
      </w:r>
    </w:p>
    <w:bookmarkStart w:name="z47" w:id="35"/>
    <w:p>
      <w:pPr>
        <w:spacing w:after="0"/>
        <w:ind w:left="0"/>
        <w:jc w:val="both"/>
      </w:pPr>
      <w:r>
        <w:rPr>
          <w:rFonts w:ascii="Times New Roman"/>
          <w:b w:val="false"/>
          <w:i w:val="false"/>
          <w:color w:val="000000"/>
          <w:sz w:val="28"/>
        </w:rPr>
        <w:t>
      9. Бақылау субъектісіне (объектісіне) профилактикалық бақылау жүргізу үшін тәуекел дәрежесін бағалау критерийлері объективті және субъективті критерийлерді айқындау арқылы қалыптастырылады.</w:t>
      </w:r>
    </w:p>
    <w:bookmarkEnd w:id="35"/>
    <w:bookmarkStart w:name="z48" w:id="36"/>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49" w:id="37"/>
    <w:p>
      <w:pPr>
        <w:spacing w:after="0"/>
        <w:ind w:left="0"/>
        <w:jc w:val="left"/>
      </w:pPr>
      <w:r>
        <w:rPr>
          <w:rFonts w:ascii="Times New Roman"/>
          <w:b/>
          <w:i w:val="false"/>
          <w:color w:val="000000"/>
        </w:rPr>
        <w:t xml:space="preserve"> 1-Параграф. Объективті өлшемшарттар</w:t>
      </w:r>
    </w:p>
    <w:bookmarkEnd w:id="37"/>
    <w:bookmarkStart w:name="z50" w:id="38"/>
    <w:p>
      <w:pPr>
        <w:spacing w:after="0"/>
        <w:ind w:left="0"/>
        <w:jc w:val="both"/>
      </w:pPr>
      <w:r>
        <w:rPr>
          <w:rFonts w:ascii="Times New Roman"/>
          <w:b w:val="false"/>
          <w:i w:val="false"/>
          <w:color w:val="000000"/>
          <w:sz w:val="28"/>
        </w:rPr>
        <w:t>
      11. Лотерея және лотерея қызметі саласында тәуекелдің жоғары дәрежесіне жеке тұлғалар мен заңды тұлғалардың заңды мүдделеріне, мемлекеттің мүліктік мүдделеріне зиян келтіру ықтималдығы тәуекелдері жатады.</w:t>
      </w:r>
    </w:p>
    <w:bookmarkEnd w:id="38"/>
    <w:p>
      <w:pPr>
        <w:spacing w:after="0"/>
        <w:ind w:left="0"/>
        <w:jc w:val="both"/>
      </w:pPr>
      <w:r>
        <w:rPr>
          <w:rFonts w:ascii="Times New Roman"/>
          <w:b w:val="false"/>
          <w:i w:val="false"/>
          <w:color w:val="000000"/>
          <w:sz w:val="28"/>
        </w:rPr>
        <w:t>
      Объективті өлшемшарттар бойынша тәуекелдің жоғары дәрежесіне лотерея және лотерея қызметі саласындағы қызметті жүзеге асыратын бақылау субъектісі (объектісі) жатады.</w:t>
      </w:r>
    </w:p>
    <w:bookmarkStart w:name="z51" w:id="39"/>
    <w:p>
      <w:pPr>
        <w:spacing w:after="0"/>
        <w:ind w:left="0"/>
        <w:jc w:val="left"/>
      </w:pPr>
      <w:r>
        <w:rPr>
          <w:rFonts w:ascii="Times New Roman"/>
          <w:b/>
          <w:i w:val="false"/>
          <w:color w:val="000000"/>
        </w:rPr>
        <w:t xml:space="preserve"> 2-Параграф. Субъективті өлшемшарттар</w:t>
      </w:r>
    </w:p>
    <w:bookmarkEnd w:id="39"/>
    <w:bookmarkStart w:name="z52" w:id="40"/>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bookmarkEnd w:id="40"/>
    <w:bookmarkStart w:name="z53" w:id="41"/>
    <w:p>
      <w:pPr>
        <w:spacing w:after="0"/>
        <w:ind w:left="0"/>
        <w:jc w:val="both"/>
      </w:pPr>
      <w:r>
        <w:rPr>
          <w:rFonts w:ascii="Times New Roman"/>
          <w:b w:val="false"/>
          <w:i w:val="false"/>
          <w:color w:val="000000"/>
          <w:sz w:val="28"/>
        </w:rPr>
        <w:t>
      1) лотерея және лотерея қызметі саласындағы заңнама талаптарының бұзылуы туралы деректер базасын қалыптастыру және ақпарат жинау;</w:t>
      </w:r>
    </w:p>
    <w:bookmarkEnd w:id="41"/>
    <w:bookmarkStart w:name="z54" w:id="42"/>
    <w:p>
      <w:pPr>
        <w:spacing w:after="0"/>
        <w:ind w:left="0"/>
        <w:jc w:val="both"/>
      </w:pPr>
      <w:r>
        <w:rPr>
          <w:rFonts w:ascii="Times New Roman"/>
          <w:b w:val="false"/>
          <w:i w:val="false"/>
          <w:color w:val="000000"/>
          <w:sz w:val="28"/>
        </w:rPr>
        <w:t>
      2) ақпаратты талдау және тәуекелдерді бағалау.</w:t>
      </w:r>
    </w:p>
    <w:bookmarkEnd w:id="42"/>
    <w:bookmarkStart w:name="z55" w:id="43"/>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заңнамасын бұзатын бақылау субъектісін анықтау үшін қажет.</w:t>
      </w:r>
    </w:p>
    <w:bookmarkEnd w:id="43"/>
    <w:bookmarkStart w:name="z56" w:id="44"/>
    <w:p>
      <w:pPr>
        <w:spacing w:after="0"/>
        <w:ind w:left="0"/>
        <w:jc w:val="both"/>
      </w:pPr>
      <w:r>
        <w:rPr>
          <w:rFonts w:ascii="Times New Roman"/>
          <w:b w:val="false"/>
          <w:i w:val="false"/>
          <w:color w:val="000000"/>
          <w:sz w:val="28"/>
        </w:rPr>
        <w:t>
      Субъективті өлшемшарттардың тәуекел дәрежесін бағалау үшін мынадай ақпарат көздері пайдаланылады:</w:t>
      </w:r>
    </w:p>
    <w:bookmarkEnd w:id="44"/>
    <w:bookmarkStart w:name="z57" w:id="45"/>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45"/>
    <w:bookmarkStart w:name="z58" w:id="46"/>
    <w:p>
      <w:pPr>
        <w:spacing w:after="0"/>
        <w:ind w:left="0"/>
        <w:jc w:val="both"/>
      </w:pPr>
      <w:r>
        <w:rPr>
          <w:rFonts w:ascii="Times New Roman"/>
          <w:b w:val="false"/>
          <w:i w:val="false"/>
          <w:color w:val="000000"/>
          <w:sz w:val="28"/>
        </w:rPr>
        <w:t>
      2) бақылау субъектіге (объектіге) алдыңғы жоспардан тыс тексерулер мен бару арқылы профилактикалық бақылаудың нәтижелері;</w:t>
      </w:r>
    </w:p>
    <w:bookmarkEnd w:id="46"/>
    <w:bookmarkStart w:name="z59" w:id="47"/>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47"/>
    <w:bookmarkStart w:name="z60" w:id="48"/>
    <w:p>
      <w:pPr>
        <w:spacing w:after="0"/>
        <w:ind w:left="0"/>
        <w:jc w:val="both"/>
      </w:pPr>
      <w:r>
        <w:rPr>
          <w:rFonts w:ascii="Times New Roman"/>
          <w:b w:val="false"/>
          <w:i w:val="false"/>
          <w:color w:val="000000"/>
          <w:sz w:val="28"/>
        </w:rPr>
        <w:t>
      4) мемлекеттік органдардың, бұқаралық ақпарат құралдарының ресми интернет-ресурстарын талдау;</w:t>
      </w:r>
    </w:p>
    <w:bookmarkEnd w:id="48"/>
    <w:bookmarkStart w:name="z61" w:id="49"/>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Бақылау субъектілерінің тәуекел дәрежесін бағалау және оларды тәуекел дәрежесінің өрескел, елеулі және елеусіз тобына жатқызу осы Өлшемшарттардың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p>
    <w:bookmarkStart w:name="z63" w:id="50"/>
    <w:p>
      <w:pPr>
        <w:spacing w:after="0"/>
        <w:ind w:left="0"/>
        <w:jc w:val="both"/>
      </w:pPr>
      <w:r>
        <w:rPr>
          <w:rFonts w:ascii="Times New Roman"/>
          <w:b w:val="false"/>
          <w:i w:val="false"/>
          <w:color w:val="000000"/>
          <w:sz w:val="28"/>
        </w:rPr>
        <w:t>
      15.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шоғырландыруға мүмкіндік береді.</w:t>
      </w:r>
    </w:p>
    <w:bookmarkEnd w:id="50"/>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субъектісіне қатысты оны мемлекеттік бақылаудың кезекті кезеңіне кестелер мен тізімдерді қалыптастыру кезінде енгізуге жол берілмейді.</w:t>
      </w:r>
    </w:p>
    <w:bookmarkStart w:name="z64" w:id="5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w:t>
      </w:r>
    </w:p>
    <w:bookmarkEnd w:id="51"/>
    <w:p>
      <w:pPr>
        <w:spacing w:after="0"/>
        <w:ind w:left="0"/>
        <w:jc w:val="left"/>
      </w:pPr>
    </w:p>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лотереялар және лотерея</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67" w:id="52"/>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таратылған (өткізілген) лотерея билеттері, түбіртектер немесе өзге де құжаттар, өткізілген лотерея билеттерінен, түбіртектерден немесе өзге де құжаттардан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субъектіге алдыңғы жоспардан тыс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тек қана он сегіз жасқа толған жеке тұлғалар арасында лотерея билеттерін, түбіртектерді немесе өзге де құжаттарды тарату (өткізу) бойынша лотерея таратушының (агенттің) міндеттемесінің болуы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лотерея таратушының (агенттің) лотереяға қатысушыларға ұтыстарды төлеу жөніндегі міндеттемесінің болуы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өткізу шарттарын және лотереяға қатысушы сатып алған лотерея билетінің, түбіртектің немесе өзге де құжаттың негізінде ұтысты төлеу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ұтқан лотерея қатысушысы туралы мәліметтерді, егер оның жазбаша келісімі алынбаса, жария етпеу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лотереялар және лотерея қызметі туралы заңнамасында көзделген тәртіппен ұйымдастырылатын және өткізілетін лотереялардан басқа, Қазақстан Республикасында өзге де лотереяларды ұйымдастыруға және өткізуге тыйым салу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лотереялар түрінде құмар ойындарды және (немесе) бәс тігуді өткізуге жол бермеу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өткізуден басқа кәсіпкерлік қызметтің өзге түрлерімен айналысуға тыйым салу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таратушымен (агентпен), атап айтқанда жеке кәсіпкермен немесе лотерея билеттерін, түбіртектерді немесе өзге де құжаттарды сыйақы үшін таратуды (өткізуді), ұтыс лотерея билеттерін, түбіртектерді немесе өзге де құжаттарды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терминалдары модельдері бақылау-касса машиналарының мемлекеттік тізіліміне енгізілген бақылау-касса машиналарымен жарақтандыру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аумағында лотерея ақпаратын өңдеу орталығының орналасуы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ақпаратын өңдеу орталығына және лотерея есептілігі орталығына ақпаратты жоғалтудан, ұрлаудан, бұрмалаудан, қолдан жасаудан, рұқсат етілмеген қол жеткізуден және оны тарату, бұғаттау, жою, түрлендіру, көшіру жөніндегі іс-әрекеттерден және өзге де заңсыз іс-әрекеттерден қорғауды қамтамасыз ету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сақтамауы:</w:t>
            </w:r>
          </w:p>
          <w:p>
            <w:pPr>
              <w:spacing w:after="20"/>
              <w:ind w:left="20"/>
              <w:jc w:val="both"/>
            </w:pPr>
            <w:r>
              <w:rPr>
                <w:rFonts w:ascii="Times New Roman"/>
                <w:b w:val="false"/>
                <w:i w:val="false"/>
                <w:color w:val="000000"/>
                <w:sz w:val="20"/>
              </w:rPr>
              <w:t>
техникалық сипаттамалар жүлде қорын ұтыс ойыны кезінде ұтыстарды бөлудің кездейсоқтығын қамтамасыз етуі тиіс;</w:t>
            </w:r>
          </w:p>
          <w:p>
            <w:pPr>
              <w:spacing w:after="20"/>
              <w:ind w:left="20"/>
              <w:jc w:val="both"/>
            </w:pPr>
            <w:r>
              <w:rPr>
                <w:rFonts w:ascii="Times New Roman"/>
                <w:b w:val="false"/>
                <w:i w:val="false"/>
                <w:color w:val="000000"/>
                <w:sz w:val="20"/>
              </w:rPr>
              <w:t>
жүлде қорының ұтыс ойынын өткізу нәтижесін осындай ұтыс ойыны басталғанға дейін алдын ала анықтауға мүмкіндік беретін жасырын мүмкіндіктер және (немесе) рәсімдер мен алгоритмдер болмауға тиіс;</w:t>
            </w:r>
          </w:p>
          <w:p>
            <w:pPr>
              <w:spacing w:after="20"/>
              <w:ind w:left="20"/>
              <w:jc w:val="both"/>
            </w:pPr>
            <w:r>
              <w:rPr>
                <w:rFonts w:ascii="Times New Roman"/>
                <w:b w:val="false"/>
                <w:i w:val="false"/>
                <w:color w:val="000000"/>
                <w:sz w:val="20"/>
              </w:rPr>
              <w:t>
байланыс желісі бойынша лотерея терминалдарымен қосылмауға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тәсілінің, аумағының және технологиясының, сондай-ақ жүлде қорын қалыптастыру тәсілінің көрсету;</w:t>
            </w:r>
          </w:p>
          <w:p>
            <w:pPr>
              <w:spacing w:after="20"/>
              <w:ind w:left="20"/>
              <w:jc w:val="both"/>
            </w:pPr>
            <w:r>
              <w:rPr>
                <w:rFonts w:ascii="Times New Roman"/>
                <w:b w:val="false"/>
                <w:i w:val="false"/>
                <w:color w:val="000000"/>
                <w:sz w:val="20"/>
              </w:rPr>
              <w:t>
3) орналасқан жері, банктік деректемелері, бизнес сәйкестендіру нөмірі көрсетілген лотерея операторының атауы;</w:t>
            </w:r>
          </w:p>
          <w:p>
            <w:pPr>
              <w:spacing w:after="20"/>
              <w:ind w:left="20"/>
              <w:jc w:val="both"/>
            </w:pPr>
            <w:r>
              <w:rPr>
                <w:rFonts w:ascii="Times New Roman"/>
                <w:b w:val="false"/>
                <w:i w:val="false"/>
                <w:color w:val="000000"/>
                <w:sz w:val="20"/>
              </w:rPr>
              <w:t>
4) лотереяны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ұтты деп танылған лотереяға қатысушыға ұтысты төлеу тәртібі мен мерзімдерін, сондай-ақ ұтыс шыққан лотерея билеттеріне, түбіртектерге немесе өзге де құжаттарға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түбіртіктерді немесе өзге де құжаттарды тарату (өткізу) тәртібі;</w:t>
            </w:r>
          </w:p>
          <w:p>
            <w:pPr>
              <w:spacing w:after="20"/>
              <w:ind w:left="20"/>
              <w:jc w:val="both"/>
            </w:pPr>
            <w:r>
              <w:rPr>
                <w:rFonts w:ascii="Times New Roman"/>
                <w:b w:val="false"/>
                <w:i w:val="false"/>
                <w:color w:val="000000"/>
                <w:sz w:val="20"/>
              </w:rPr>
              <w:t>
11)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(бар болса) қалыптастыру мен ұтысқа салу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операторы бекіткен лотереяны өткізу шарттарының түпнұсқа данасын Лотерея және лотерея қызметі саласындағы уәкілетті органға оны өткізу басталғанға дейін күнтізбелік он күннен кешіктірмей жіберу және лотереяны өткізу шарттарын оны өткізу басталғанға дейін күнтізбелік бір күннен кешіктірмей өзінің интернет-ресурсында орналастыру бойынша міндеттемені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сатылған лотерея билеттерінен, түбіртектерден немесе нақты лотереяның өзге де құжаттарынан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оны ойнату басталғанға дейін қалыптастыру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лотереяға қатысушылар алдындағы ұтыстарды төлеу жөніндегі, сондай-ақ жүлде қорының қаражатын ұтыстарды төлеуден өзгеше пайдалану жөніндегі міндеттемелерді қоспағанда, жүлде қорына қандай да бір міндеттемелермен ауыртпалық салуға тыйым салу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шарттарына сәйкес ұтқан деп танылған лотереяға қатысушыға лотерея өткізу шарттарына сәйкес ұтыстарды мөлшері мен нысанында (ақшалай немесе заттай) төлеу жөніндегі талапты сақтамауы (ұтыстарды төлеу тиісті таралым өткізілгеннен кейін отыз күн мерзімнен кешіктірілмей басталуы және нәтижелері жарияланған сәттен бастап кемінде алты ай жалғасуы тиіс (жүлде қорының ұтыс 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(жүлде қорының ұтыс ойынының) нәтижелері жарияланған кезден бастап үш жыл ішінде сақтау жөніндегі талапты сақтамауы, содан кейін олар салық емес төлем түрінде бюджет кірісіне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нысанды қоспағанда, лотерея билеттеріндегі, түбіртектердегі немесе өзге де құжаттардағы төмендегідей міндетті ақпараттың мазмұны бойынша талапты сақтамау:</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5)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билеттерінің, түбіртектердің немесе өзге де құжаттардың электрондық нысанына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3)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билеттерінде, түбіртектерде немесе өзге де құжаттарда қамтылған ақпараттың орфография және түпнұсқалық аударма нормаларының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кездейсоқ түрде ұтқан лотерея комбинациясын генерациялау жолымен лотерея жабдығымен ұтыс ойынын жүзеге асыру бойынша талапты сақтамауы, оны лотерея қатысушысы өз ұтысын анықтау мақсатында осы ұтыс ойынындағы лотерея комбинациясымен салыстыруға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қорының ұтыс ойынын өткізу кезінде тираждық комиссия құру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телеарнада тікелей эфирде немесе интернет желісінде айқындау рәсімін көрсете отырып, тираждық лотереяның жүлде қорының ұтыс ойынын трансляциялауды қамтамасыз ету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бүкіл аумағында таратылатын мерзімді баспа басылымдарында үш жұмыс күні ішінде жүлде қорының және лотерея билеттері, түбіртектер немесе тираждық лотереяның өзге де құжаттары бойынша ұтыстардың әрбір ұтыс ойынының нәтижелерін жариялау жөніндегі талапты сақтамауы немесе лотерея операторының интернет-ресурсында көрсетілген ұтыс ойыны өткізілген кезден бастап он екі сағат ішінде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 өткізу тоқтатылған жағдайда, бас жүлдені қоса алғанда, жүлде қорын толық ойнату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дене шынықтыруды және спортты дамытуға бағытталған бюджеттен тыс ақша қаражатын бөлу жөніндегі қызметті жүзеге асыратын бірыңғай операторға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спортты дамытуға тоқсан сайын бағыттау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лотереялар және лотерея қызметі туралы заңнамасын бұзу фактілері бар мемлекеттік органдардан алынған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растайтын құжаттарды қоса бере отырып, құқықтары бұзылған жеке және заңды тұлғалардан бір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растайтын құжаттарды қоса бере отырып, құқықтары бұзылған жеке және заңды тұлғалардан 2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xml:space="preserve">№ 136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22 желтоқсандағы</w:t>
            </w:r>
            <w:r>
              <w:br/>
            </w:r>
            <w:r>
              <w:rPr>
                <w:rFonts w:ascii="Times New Roman"/>
                <w:b w:val="false"/>
                <w:i w:val="false"/>
                <w:color w:val="000000"/>
                <w:sz w:val="20"/>
              </w:rPr>
              <w:t>№ 380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195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2016 жылғы 18 шілдедегі</w:t>
            </w:r>
            <w:r>
              <w:br/>
            </w:r>
            <w:r>
              <w:rPr>
                <w:rFonts w:ascii="Times New Roman"/>
                <w:b w:val="false"/>
                <w:i w:val="false"/>
                <w:color w:val="000000"/>
                <w:sz w:val="20"/>
              </w:rPr>
              <w:t>№ 323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Лотерея операторына қатысты Қазақстан Республикасының лотереялар және лотерея қызметі туралы заңнамасын сақтаудың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тек қана он сегіз жасқа толған жеке тұлғалар арасында лотерея билеттерін, түбіртектерді немесе өзге де құжаттарды тарату (өткізу) бойынша лотерея таратушының (агенттің) міндеттемесінің болуы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лотерея таратушының (агенттің) лотереяға қатысушыларға ұтыстарды төлеу жөніндегі міндеттемесінің болуы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өткізу шарттарын және лотереяға қатысушы сатып алған лотерея билетінің, түбіртектің немесе өзге де құжаттың негізінде ұтысты төлеу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ұтқан лотерея қатысушысы туралы мәліметтерді, егер оның жазбаша келісімі алынбаса, жария етпеу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лотереялар және лотерея қызметі туралы заңнамасында көзделген тәртіппен ұйымдастырылатын және өткізілетін лотереялардан басқа, Қазақстан Республикасында өзге де лотереяларды ұйымдастыруға және өткізуге тыйым салу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лотереялар түрінде құмар ойындарды және (немесе) бәс тігуді өткізуге жол бермеу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өткізуден басқа кәсіпкерлік қызметтің өзге түрлерімен айналысуға тыйым салу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таратушымен (агентпен), атап айтқанда жеке кәсіпкермен немесе лотерея билеттерін, түбіртектерді немесе өзге де құжаттарды сыйақы үшін таратуды (өткізуді), ұтыс лотерея билеттерін, түбіртектерді немесе өзге де құжаттарды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терминалдары модельдері бақылау-касса машиналарының мемлекеттік тізіліміне енгізілген бақылау-касса машиналарымен жарақтандыру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аумағында лотерея ақпаратын өңдеу орталығының орналасуы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ақпаратын өңдеу орталығына және лотерея есептілігі орталығына ақпаратты жоғалтудан, ұрлаудан, бұрмалаудан, қолдан жасаудан, рұқсат етілмеген қол жеткізуден және оны тарату, бұғаттау, жою, түрлендіру, көшіру жөніндегі іс-әрекеттерден және өзге де заңсыз іс-әрекеттерден қорғауды қамтамасыз ету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сақтамауы:</w:t>
            </w:r>
          </w:p>
          <w:p>
            <w:pPr>
              <w:spacing w:after="20"/>
              <w:ind w:left="20"/>
              <w:jc w:val="both"/>
            </w:pPr>
            <w:r>
              <w:rPr>
                <w:rFonts w:ascii="Times New Roman"/>
                <w:b w:val="false"/>
                <w:i w:val="false"/>
                <w:color w:val="000000"/>
                <w:sz w:val="20"/>
              </w:rPr>
              <w:t>
техникалық сипаттамалар жүлде қорын ұтыс ойыны кезінде ұтыстарды бөлудің кездейсоқтығын қамтамасыз етуі тиіс;</w:t>
            </w:r>
          </w:p>
          <w:p>
            <w:pPr>
              <w:spacing w:after="20"/>
              <w:ind w:left="20"/>
              <w:jc w:val="both"/>
            </w:pPr>
            <w:r>
              <w:rPr>
                <w:rFonts w:ascii="Times New Roman"/>
                <w:b w:val="false"/>
                <w:i w:val="false"/>
                <w:color w:val="000000"/>
                <w:sz w:val="20"/>
              </w:rPr>
              <w:t>
жүлде қорының ұтыс ойынын өткізу нәтижесін осындай ұтыс ойыны басталғанға дейін алдын ала анықтауға мүмкіндік беретін жасырын мүмкіндіктер және (немесе) рәсімдер мен алгоритмдер болмауға тиіс;</w:t>
            </w:r>
          </w:p>
          <w:p>
            <w:pPr>
              <w:spacing w:after="20"/>
              <w:ind w:left="20"/>
              <w:jc w:val="both"/>
            </w:pPr>
            <w:r>
              <w:rPr>
                <w:rFonts w:ascii="Times New Roman"/>
                <w:b w:val="false"/>
                <w:i w:val="false"/>
                <w:color w:val="000000"/>
                <w:sz w:val="20"/>
              </w:rPr>
              <w:t>
байланыс желісі бойынша лотерея терминалдарымен қосылмауға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тәсілінің, аумағының және технологиясының, сондай-ақ жүлде қорын қалыптастыру тәсілінің көрсету;</w:t>
            </w:r>
          </w:p>
          <w:p>
            <w:pPr>
              <w:spacing w:after="20"/>
              <w:ind w:left="20"/>
              <w:jc w:val="both"/>
            </w:pPr>
            <w:r>
              <w:rPr>
                <w:rFonts w:ascii="Times New Roman"/>
                <w:b w:val="false"/>
                <w:i w:val="false"/>
                <w:color w:val="000000"/>
                <w:sz w:val="20"/>
              </w:rPr>
              <w:t>
3) орналасқан жері, банктік деректемелері, бизнес сәйкестендіру нөмірі көрсетілген лотерея операторының атауы;</w:t>
            </w:r>
          </w:p>
          <w:p>
            <w:pPr>
              <w:spacing w:after="20"/>
              <w:ind w:left="20"/>
              <w:jc w:val="both"/>
            </w:pPr>
            <w:r>
              <w:rPr>
                <w:rFonts w:ascii="Times New Roman"/>
                <w:b w:val="false"/>
                <w:i w:val="false"/>
                <w:color w:val="000000"/>
                <w:sz w:val="20"/>
              </w:rPr>
              <w:t>
4) лотереяны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ұтты деп танылған лотереяға қатысушыға ұтысты төлеу тәртібі мен мерзімдерін, сондай-ақ ұтыс шыққан лотерея билеттеріне, түбіртектерге немесе өзге де құжаттарға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түбіртіктерді немесе өзге де құжаттарды тарату (өткізу) тәртібі;</w:t>
            </w:r>
          </w:p>
          <w:p>
            <w:pPr>
              <w:spacing w:after="20"/>
              <w:ind w:left="20"/>
              <w:jc w:val="both"/>
            </w:pPr>
            <w:r>
              <w:rPr>
                <w:rFonts w:ascii="Times New Roman"/>
                <w:b w:val="false"/>
                <w:i w:val="false"/>
                <w:color w:val="000000"/>
                <w:sz w:val="20"/>
              </w:rPr>
              <w:t>
11)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(бар болса) қалыптастыру мен ұтысқа салу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операторы бекіткен лотереяны өткізу шарттарының түпнұсқа данасын Лотерея және лотерея қызметі саласындағы уәкілетті органға оны өткізу басталғанға дейін күнтізбелік он күннен кешіктірмей жіберу және лотереяны өткізу шарттарын оны өткізу басталғанға дейін күнтізбелік бір күннен кешіктірмей өзінің интернет-ресурсында орналастыру бойынша міндеттемені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сатылған лотерея билеттерінен, түбіртектерден немесе нақты лотереяның өзге де құжаттарынан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оны ойнату басталғанға дейін қалыптастыру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лотереяға қатысушылар алдындағы ұтыстарды төлеу жөніндегі, сондай-ақ жүлде қорының қаражатын ұтыстарды төлеуден өзгеше пайдалану жөніндегі міндеттемелерді қоспағанда, жүлде қорына қандай да бір міндеттемелермен ауыртпалық салуға тыйым салу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салу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шарттарына сәйкес ұтқан деп танылған лотереяға қатысушыға лотерея өткізу шарттарына сәйкес ұтыстарды мөлшері мен нысанында (ақшалай немесе заттай) төлеу жөніндегі талапты сақтамауы (ұтыстарды төлеу тиісті таралым өткізілгеннен кейін отыз күн мерзімнен кешіктірілмей басталуы және нәтижелері жарияланған сәттен бастап кемінде алты ай жалғасуы тиіс (жүлде қорының ұтыс ойыны)).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(жүлде қорының ұтыс ойынының) нәтижелері жарияланған кезден бастап үш жыл ішінде сақтау жөніндегі талапты сақтамауы, содан кейін олар салық емес төлем түрінде бюджет кірісіне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нысанды қоспағанда, лотерея билеттеріндегі, түбіртектердегі немесе өзге де құжаттардағы төмендегідей міндетті ақпараттың мазмұны бойынша талапты сақтамау:</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5)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билеттерінің, түбіртектердің немесе өзге де құжаттардың электрондық нысанына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лотерея билетінің, түбіртектің немесе өзге де құжаттың нөмірі;</w:t>
            </w:r>
          </w:p>
          <w:p>
            <w:pPr>
              <w:spacing w:after="20"/>
              <w:ind w:left="20"/>
              <w:jc w:val="both"/>
            </w:pPr>
            <w:r>
              <w:rPr>
                <w:rFonts w:ascii="Times New Roman"/>
                <w:b w:val="false"/>
                <w:i w:val="false"/>
                <w:color w:val="000000"/>
                <w:sz w:val="20"/>
              </w:rPr>
              <w:t>
3) лотерея билетінің, түбіртектің немесе өзге де құжаттың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билеттерінде, түбіртектерде немесе өзге де құжаттарда қамтылған ақпараттың орфография және түпнұсқалық аударма нормаларының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кездейсоқ түрде ұтқан лотерея комбинациясын генерациялау жолымен лотерея жабдығымен ұтыс ойынын жүзеге асыру бойынша талапты сақтамауы, оны лотерея қатысушысы өз ұтысын анықтау мақсатында осы ұтыс ойынындағы лотерея комбинациясымен салыстыруға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қорының ұтыс ойынын өткізу кезінде тираждық комиссия құру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телеарнада тікелей эфирде немесе интернет желісінде айқындау рәсімін көрсете отырып, тираждық лотереяның жүлде қорының ұтыс ойынын трансляциялауды қамтамасыз ету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бүкіл аумағында таратылатын мерзімді баспа басылымдарында үш жұмыс күні ішінде жүлде қорының және лотерея билеттері, түбіртектер немесе тираждық лотереяның өзге де құжаттары бойынша ұтыстардың әрбір ұтыс ойынының нәтижелерін жариялау жөніндегі талапты сақтамауы немесе лотерея операторының интернет-ресурсында көрсетілген ұтыс ойыны өткізілген кезден бастап он екі сағат ішінде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 өткізу тоқтатылған жағдайда, бас жүлдені қоса алғанда, жүлде қорын толық ойнату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дене шынықтыруды және спортты дамытуға бағытталған бюджеттен тыс ақша қаражатын бөлу жөніндегі қызметті жүзеге асыратын бірыңғай операторға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спортты дамытуға тоқсан сайын бағыттау міндетін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