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91dc" w14:textId="cda9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21 желтоқсандағы № 765 бұйрығы. Қазақстан Республикасының Әділет министрлігінде 2022 жылғы 23 желтоқсанда № 31224 болып тіркелді. Күші жойылды - Қазақстан Республикасы Экология және табиғи ресурстар министрінің 2024 жылғы 21 мамырдағы № 107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және табиғи ресурстар министрінің 21.05.2024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15722 болып тіркелген) (бұдан әрі – Бұйрық)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Бұйрықпен бекітілген аңшылық алқаптар мен балық шаруашылығы су айдындарын және (немесе) учаскелерін қайта бекітіп беру жөніндегі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Ұйымдастырылған аңшылық шаруашылықтар шекарасында аңшылық алқаптар осының алдындағы шаруашылықаралық аңшылық ісін ұйымдастыру материалдарының немесе шаруашылықішілік аңшылық ісін ұйымдастыру материалдарының негізінде қайта бекітіледі.</w:t>
      </w:r>
    </w:p>
    <w:bookmarkEnd w:id="3"/>
    <w:p>
      <w:pPr>
        <w:spacing w:after="0"/>
        <w:ind w:left="0"/>
        <w:jc w:val="both"/>
      </w:pPr>
      <w:r>
        <w:rPr>
          <w:rFonts w:ascii="Times New Roman"/>
          <w:b w:val="false"/>
          <w:i w:val="false"/>
          <w:color w:val="000000"/>
          <w:sz w:val="28"/>
        </w:rPr>
        <w:t>
      Шаруашылықаралық аңшылық ісін ұйымдастыру жүргізілмей бұдан бұрын бекітіліп берілген аңшылық алқаптар болған немесе аңшылық алқаптарының шекаралары мен санаттары өзгерген жағдайда, мұндай аңшылық алқаптарын қайта бекітіп беру аңшылық пайдаланушы өз қаражаты есебінен жүргізген шаруашылықаралық аңшылық ісін ұйымдастыру негізінде, бекітіп беру мерзімі аяқталғанға дейін, кемінде бір жыл бұрын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Өтінім мыналарды қамтиды:</w:t>
      </w:r>
    </w:p>
    <w:bookmarkEnd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аңшылық алқаптарды қайта бекітуге арналған өтініштің түпнұсқасы;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өтініш берушілерге қойылатын белгіленген біліктілік талаптарына сәйкестігін растайтын құжаттар;</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үлгілік нысанға (бұдан әрі – Үлгілік нысан) сәйкес аңшылық шаруашылығы субъектісін дамыту жоспарының түпнұсқасы (екі жылға арналған);</w:t>
      </w:r>
    </w:p>
    <w:p>
      <w:pPr>
        <w:spacing w:after="0"/>
        <w:ind w:left="0"/>
        <w:jc w:val="both"/>
      </w:pPr>
      <w:r>
        <w:rPr>
          <w:rFonts w:ascii="Times New Roman"/>
          <w:b w:val="false"/>
          <w:i w:val="false"/>
          <w:color w:val="000000"/>
          <w:sz w:val="28"/>
        </w:rPr>
        <w:t>
      4) түсіндірме жазбасы бар кесте түрінде берілген аңшылық шаруашылығын дамыту жоспарының (аңшылық алқаптарын бекітіп беру кезінде мәлімделген іс-шаралардың) орындалуы;</w:t>
      </w:r>
    </w:p>
    <w:p>
      <w:pPr>
        <w:spacing w:after="0"/>
        <w:ind w:left="0"/>
        <w:jc w:val="both"/>
      </w:pPr>
      <w:r>
        <w:rPr>
          <w:rFonts w:ascii="Times New Roman"/>
          <w:b w:val="false"/>
          <w:i w:val="false"/>
          <w:color w:val="000000"/>
          <w:sz w:val="28"/>
        </w:rPr>
        <w:t>
      5) түсіндірме жазбасы бар кесте түрінде берілген қайта бекітуге өтініш бергенге дейінгі соңғы 3 (үш) жылда шаруашылықішілік аңшылықты ұйымдастыру материалдары бойынша әзірленген аңшылық шаруашылығын жүргізу жоспарының орындалуы.";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"11. Облыстың жергілікті атқарушы органының сұратуы бойынша аумақтық бөлімше екі жұмыс күні ішінде, қайта бекітіліп берілетін аңшылық алқаптар бойынша жануарлар дүниесін пайдаланудың соңғы 3 (үш) жыл кезеңіндегі шарттық міндеттемелердің орындалуы (орындалмауы) туралы ақпарат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22-тармағы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"22. Облыстың жергілікті атқарушы органының аңшылық алқаптарын қайта бекіту туралы шешімінің негізінде он жұмыс күні ішінде ведомствоның аумақтық бөлімшесі мен өтінім берушінің арасында аңшылық шаруашылығын жүргізуге арналған шарт жасалады.";</w:t>
      </w:r>
    </w:p>
    <w:bookmarkEnd w:id="6"/>
    <w:bookmarkStart w:name="z12" w:id="7"/>
    <w:p>
      <w:pPr>
        <w:spacing w:after="0"/>
        <w:ind w:left="0"/>
        <w:jc w:val="both"/>
      </w:pPr>
      <w:r>
        <w:rPr>
          <w:rFonts w:ascii="Times New Roman"/>
          <w:b w:val="false"/>
          <w:i w:val="false"/>
          <w:color w:val="000000"/>
          <w:sz w:val="28"/>
        </w:rPr>
        <w:t xml:space="preserve">
      Бұйрықпен бекітілген аңшылық алқаптар мен балық шаруашылығы су айдындары және (немесе) учаскелері бұдан бұрын бекiтiліп берілген тұлғаларға қойылатын біліктілік </w:t>
      </w:r>
      <w:r>
        <w:rPr>
          <w:rFonts w:ascii="Times New Roman"/>
          <w:b w:val="false"/>
          <w:i w:val="false"/>
          <w:color w:val="000000"/>
          <w:sz w:val="28"/>
        </w:rPr>
        <w:t>талаптарының</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 Аңшылық алқаптар бұдан бұрын бекітіліп берілген тұлғаларға қойылатын біліктілік талаптары:</w:t>
      </w:r>
    </w:p>
    <w:bookmarkEnd w:id="8"/>
    <w:p>
      <w:pPr>
        <w:spacing w:after="0"/>
        <w:ind w:left="0"/>
        <w:jc w:val="both"/>
      </w:pPr>
      <w:r>
        <w:rPr>
          <w:rFonts w:ascii="Times New Roman"/>
          <w:b w:val="false"/>
          <w:i w:val="false"/>
          <w:color w:val="000000"/>
          <w:sz w:val="28"/>
        </w:rPr>
        <w:t>
      1) салық төлеушінің салық берешегінің, міндетті зейнетақы жарналары мен әлеуметтік аударымдар бойынша берешегінің болмауы;</w:t>
      </w:r>
    </w:p>
    <w:p>
      <w:pPr>
        <w:spacing w:after="0"/>
        <w:ind w:left="0"/>
        <w:jc w:val="both"/>
      </w:pPr>
      <w:r>
        <w:rPr>
          <w:rFonts w:ascii="Times New Roman"/>
          <w:b w:val="false"/>
          <w:i w:val="false"/>
          <w:color w:val="000000"/>
          <w:sz w:val="28"/>
        </w:rPr>
        <w:t>
      2) конкурсқа қатысушының банк, филиал немесе банк бөлімшесі алдындағы міндеттемелерінің барлық түрлері бойынша мерзімі өткен берешегінің болмауы;</w:t>
      </w:r>
    </w:p>
    <w:p>
      <w:pPr>
        <w:spacing w:after="0"/>
        <w:ind w:left="0"/>
        <w:jc w:val="both"/>
      </w:pPr>
      <w:r>
        <w:rPr>
          <w:rFonts w:ascii="Times New Roman"/>
          <w:b w:val="false"/>
          <w:i w:val="false"/>
          <w:color w:val="000000"/>
          <w:sz w:val="28"/>
        </w:rPr>
        <w:t>
      3) аумақтық бөлімшелерден алынатын аңшылық шаруашылығы субъектілерін дамыту жоспарларына сәйкес қаржылық және басқа да міндеттемелердің орындалуы туралы мәліметтер (аңшылық алқаптары бұрын бекітіліп берілген жеке немесе заңды тұлғалар үшін) (электрондық көшірмесі);</w:t>
      </w:r>
    </w:p>
    <w:p>
      <w:pPr>
        <w:spacing w:after="0"/>
        <w:ind w:left="0"/>
        <w:jc w:val="both"/>
      </w:pPr>
      <w:r>
        <w:rPr>
          <w:rFonts w:ascii="Times New Roman"/>
          <w:b w:val="false"/>
          <w:i w:val="false"/>
          <w:color w:val="000000"/>
          <w:sz w:val="28"/>
        </w:rPr>
        <w:t>
      4) жануарлар дүниесін қорғауға арналған меншік немесе жалға алу құқығында материалдық-техникалық құралдарының болуы туралы анықтама.";</w:t>
      </w:r>
    </w:p>
    <w:bookmarkStart w:name="z15" w:id="9"/>
    <w:p>
      <w:pPr>
        <w:spacing w:after="0"/>
        <w:ind w:left="0"/>
        <w:jc w:val="both"/>
      </w:pPr>
      <w:r>
        <w:rPr>
          <w:rFonts w:ascii="Times New Roman"/>
          <w:b w:val="false"/>
          <w:i w:val="false"/>
          <w:color w:val="000000"/>
          <w:sz w:val="28"/>
        </w:rPr>
        <w:t xml:space="preserve">
      Аңшылық алқаптар мен балық шаруашылығы су айдындары және (немесе) учаскелері бұдан бұрын бекітіліп берілген тұлғаларға қойылатын біліктілік талаптарына </w:t>
      </w:r>
      <w:r>
        <w:rPr>
          <w:rFonts w:ascii="Times New Roman"/>
          <w:b w:val="false"/>
          <w:i w:val="false"/>
          <w:color w:val="000000"/>
          <w:sz w:val="28"/>
        </w:rPr>
        <w:t>қосымша</w:t>
      </w:r>
      <w:r>
        <w:rPr>
          <w:rFonts w:ascii="Times New Roman"/>
          <w:b w:val="false"/>
          <w:i w:val="false"/>
          <w:color w:val="000000"/>
          <w:sz w:val="28"/>
        </w:rPr>
        <w:t xml:space="preserve"> алынып тасталсын.</w:t>
      </w:r>
    </w:p>
    <w:bookmarkEnd w:id="9"/>
    <w:bookmarkStart w:name="z16" w:id="10"/>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8" w:id="12"/>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12"/>
    <w:bookmarkStart w:name="z19" w:id="1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 ұсынуды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