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929a" w14:textId="1ac9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20 желтоқсандағы № 371 және Қазақстан Республикасы Ұлттық экономика министрінің м.а. 2022 жылғы 21 желтоқсандағы № 133 бірлескен бұйрығы. Қазақстан Республикасының Әділет министрлігінде 2022 жылғы 22 желтоқсанда № 31208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14313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 сақтаудың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букмекерлік кеңселер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бірлескен бұйрыққа 6-қосымшамен толықтырылсын.</w:t>
      </w:r>
    </w:p>
    <w:bookmarkStart w:name="z9"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2"/>
    <w:bookmarkStart w:name="z10"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w:t>
      </w:r>
    </w:p>
    <w:bookmarkEnd w:id="5"/>
    <w:bookmarkStart w:name="z13"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6"/>
    <w:bookmarkStart w:name="z14" w:id="7"/>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түрде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Қазақстан Республикасының ойын бизнесі туралы заңнамасын сақтаудың тәуекел дәрежесін бағалау өлшемшарттары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ойын бизнесі туралы заңнамасын сақтаудың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барып профилактикалық бақылау жүргізу мақсатында бақылау субъектілерін іріктеуге арналған.</w:t>
      </w:r>
    </w:p>
    <w:bookmarkStart w:name="z20"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бақылау объектілері – мемлекеттік бақылау субъектiсінде меншік құқығымен немесе өзге де заңды негізде болатын, мемлекеттік бақылауға жататын мүлік мемлекеттік бақылау объектісі болып табылады;</w:t>
      </w:r>
    </w:p>
    <w:bookmarkEnd w:id="11"/>
    <w:bookmarkStart w:name="z22" w:id="12"/>
    <w:p>
      <w:pPr>
        <w:spacing w:after="0"/>
        <w:ind w:left="0"/>
        <w:jc w:val="both"/>
      </w:pPr>
      <w:r>
        <w:rPr>
          <w:rFonts w:ascii="Times New Roman"/>
          <w:b w:val="false"/>
          <w:i w:val="false"/>
          <w:color w:val="000000"/>
          <w:sz w:val="28"/>
        </w:rPr>
        <w:t>
      2) бақылау субъектілері – қызметіне бақылау жүзеге асырылатын казино, ойын автоматтарының залдары, букмекерлік кеңселер, тотализаторлар қызметін жүзеге асыратын заңды тұлғалар;</w:t>
      </w:r>
    </w:p>
    <w:bookmarkEnd w:id="12"/>
    <w:bookmarkStart w:name="z23" w:id="13"/>
    <w:p>
      <w:pPr>
        <w:spacing w:after="0"/>
        <w:ind w:left="0"/>
        <w:jc w:val="both"/>
      </w:pPr>
      <w:r>
        <w:rPr>
          <w:rFonts w:ascii="Times New Roman"/>
          <w:b w:val="false"/>
          <w:i w:val="false"/>
          <w:color w:val="000000"/>
          <w:sz w:val="28"/>
        </w:rPr>
        <w:t>
      3) болмашы бұзушылықтар – Қазақстан Республикасының ойын бизнесі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13"/>
    <w:bookmarkStart w:name="z24" w:id="14"/>
    <w:p>
      <w:pPr>
        <w:spacing w:after="0"/>
        <w:ind w:left="0"/>
        <w:jc w:val="both"/>
      </w:pPr>
      <w:r>
        <w:rPr>
          <w:rFonts w:ascii="Times New Roman"/>
          <w:b w:val="false"/>
          <w:i w:val="false"/>
          <w:color w:val="000000"/>
          <w:sz w:val="28"/>
        </w:rPr>
        <w:t>
      4) елеулі бұзушылықтар – Қазақстан Республикасының ойын бизнесі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14"/>
    <w:bookmarkStart w:name="z25" w:id="15"/>
    <w:p>
      <w:pPr>
        <w:spacing w:after="0"/>
        <w:ind w:left="0"/>
        <w:jc w:val="both"/>
      </w:pPr>
      <w:r>
        <w:rPr>
          <w:rFonts w:ascii="Times New Roman"/>
          <w:b w:val="false"/>
          <w:i w:val="false"/>
          <w:color w:val="000000"/>
          <w:sz w:val="28"/>
        </w:rPr>
        <w:t>
      5) өрескел бұзушылықтар – жеке және заңды тұлғалардың, мемлекеттің құқықтарының, заңды мүдделерінің елеулі бұзылуына әкеп соғуы мүмкін Қазақстан Республикасының ойын бизнесі туралы заңнамасының талаптарын бұзу;</w:t>
      </w:r>
    </w:p>
    <w:bookmarkEnd w:id="15"/>
    <w:bookmarkStart w:name="z26" w:id="16"/>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27" w:id="17"/>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28" w:id="18"/>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8"/>
    <w:bookmarkStart w:name="z29" w:id="19"/>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30" w:id="20"/>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bookmarkEnd w:id="20"/>
    <w:bookmarkStart w:name="z31" w:id="21"/>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1"/>
    <w:bookmarkStart w:name="z32" w:id="2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екі реттен жиілетпей айқындалады.</w:t>
      </w:r>
    </w:p>
    <w:bookmarkEnd w:id="22"/>
    <w:bookmarkStart w:name="z33" w:id="23"/>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23"/>
    <w:bookmarkStart w:name="z34" w:id="24"/>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24"/>
    <w:bookmarkStart w:name="z35" w:id="25"/>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25"/>
    <w:bookmarkStart w:name="z36" w:id="26"/>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26"/>
    <w:bookmarkStart w:name="z37" w:id="27"/>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 тексеруді жүзеге асыру кезінде бақылау субъектілерін (объектілерін) мынадай тәуекел дәрежелерінің біріне (бұдан әрі – тәуекел дәрежесі) жатқызады:</w:t>
      </w:r>
    </w:p>
    <w:bookmarkEnd w:id="27"/>
    <w:bookmarkStart w:name="z38" w:id="28"/>
    <w:p>
      <w:pPr>
        <w:spacing w:after="0"/>
        <w:ind w:left="0"/>
        <w:jc w:val="both"/>
      </w:pPr>
      <w:r>
        <w:rPr>
          <w:rFonts w:ascii="Times New Roman"/>
          <w:b w:val="false"/>
          <w:i w:val="false"/>
          <w:color w:val="000000"/>
          <w:sz w:val="28"/>
        </w:rPr>
        <w:t>
      1) жоғары тәуекел;</w:t>
      </w:r>
    </w:p>
    <w:bookmarkEnd w:id="28"/>
    <w:bookmarkStart w:name="z39" w:id="29"/>
    <w:p>
      <w:pPr>
        <w:spacing w:after="0"/>
        <w:ind w:left="0"/>
        <w:jc w:val="both"/>
      </w:pPr>
      <w:r>
        <w:rPr>
          <w:rFonts w:ascii="Times New Roman"/>
          <w:b w:val="false"/>
          <w:i w:val="false"/>
          <w:color w:val="000000"/>
          <w:sz w:val="28"/>
        </w:rPr>
        <w:t>
      2) орташа тәуекел;</w:t>
      </w:r>
    </w:p>
    <w:bookmarkEnd w:id="29"/>
    <w:bookmarkStart w:name="z40" w:id="30"/>
    <w:p>
      <w:pPr>
        <w:spacing w:after="0"/>
        <w:ind w:left="0"/>
        <w:jc w:val="both"/>
      </w:pPr>
      <w:r>
        <w:rPr>
          <w:rFonts w:ascii="Times New Roman"/>
          <w:b w:val="false"/>
          <w:i w:val="false"/>
          <w:color w:val="000000"/>
          <w:sz w:val="28"/>
        </w:rPr>
        <w:t>
      3) төмен тәуекел.</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Start w:name="z42" w:id="3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1"/>
    <w:bookmarkStart w:name="z43"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44"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3"/>
    <w:bookmarkStart w:name="z45" w:id="3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4"/>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біліктілік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46" w:id="35"/>
    <w:p>
      <w:pPr>
        <w:spacing w:after="0"/>
        <w:ind w:left="0"/>
        <w:jc w:val="both"/>
      </w:pPr>
      <w:r>
        <w:rPr>
          <w:rFonts w:ascii="Times New Roman"/>
          <w:b w:val="false"/>
          <w:i w:val="false"/>
          <w:color w:val="000000"/>
          <w:sz w:val="28"/>
        </w:rPr>
        <w:t>
      9. Бақылау субъектілерінің (объектілерінің) біліктілік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5"/>
    <w:bookmarkStart w:name="z47" w:id="36"/>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48" w:id="37"/>
    <w:p>
      <w:pPr>
        <w:spacing w:after="0"/>
        <w:ind w:left="0"/>
        <w:jc w:val="left"/>
      </w:pPr>
      <w:r>
        <w:rPr>
          <w:rFonts w:ascii="Times New Roman"/>
          <w:b/>
          <w:i w:val="false"/>
          <w:color w:val="000000"/>
        </w:rPr>
        <w:t xml:space="preserve"> 1-Параграф. Объективті өлшемшарттар</w:t>
      </w:r>
    </w:p>
    <w:bookmarkEnd w:id="37"/>
    <w:bookmarkStart w:name="z49" w:id="38"/>
    <w:p>
      <w:pPr>
        <w:spacing w:after="0"/>
        <w:ind w:left="0"/>
        <w:jc w:val="both"/>
      </w:pPr>
      <w:r>
        <w:rPr>
          <w:rFonts w:ascii="Times New Roman"/>
          <w:b w:val="false"/>
          <w:i w:val="false"/>
          <w:color w:val="000000"/>
          <w:sz w:val="28"/>
        </w:rPr>
        <w:t>
      11. Ойын бизнесі саласында тәуекелдің жоғары дәрежесіне жеке және заңды тұлғалардың заңды мүдделеріне, мемлекеттің мүліктік мүдделеріне зиян келтіру ықтималдығы тәуекелдері жатады.</w:t>
      </w:r>
    </w:p>
    <w:bookmarkEnd w:id="38"/>
    <w:bookmarkStart w:name="z50" w:id="39"/>
    <w:p>
      <w:pPr>
        <w:spacing w:after="0"/>
        <w:ind w:left="0"/>
        <w:jc w:val="both"/>
      </w:pPr>
      <w:r>
        <w:rPr>
          <w:rFonts w:ascii="Times New Roman"/>
          <w:b w:val="false"/>
          <w:i w:val="false"/>
          <w:color w:val="000000"/>
          <w:sz w:val="28"/>
        </w:rPr>
        <w:t>
      Объективті критерийлер бойынша тәуекелдің жоғары дәрежесіне келесі бақылау субъектілері (объектілері) жатады:</w:t>
      </w:r>
    </w:p>
    <w:bookmarkEnd w:id="39"/>
    <w:bookmarkStart w:name="z51" w:id="40"/>
    <w:p>
      <w:pPr>
        <w:spacing w:after="0"/>
        <w:ind w:left="0"/>
        <w:jc w:val="both"/>
      </w:pPr>
      <w:r>
        <w:rPr>
          <w:rFonts w:ascii="Times New Roman"/>
          <w:b w:val="false"/>
          <w:i w:val="false"/>
          <w:color w:val="000000"/>
          <w:sz w:val="28"/>
        </w:rPr>
        <w:t>
      1) казино;</w:t>
      </w:r>
    </w:p>
    <w:bookmarkEnd w:id="40"/>
    <w:bookmarkStart w:name="z52" w:id="41"/>
    <w:p>
      <w:pPr>
        <w:spacing w:after="0"/>
        <w:ind w:left="0"/>
        <w:jc w:val="both"/>
      </w:pPr>
      <w:r>
        <w:rPr>
          <w:rFonts w:ascii="Times New Roman"/>
          <w:b w:val="false"/>
          <w:i w:val="false"/>
          <w:color w:val="000000"/>
          <w:sz w:val="28"/>
        </w:rPr>
        <w:t>
      2) ойын автоматтары залдары;</w:t>
      </w:r>
    </w:p>
    <w:bookmarkEnd w:id="41"/>
    <w:bookmarkStart w:name="z53" w:id="42"/>
    <w:p>
      <w:pPr>
        <w:spacing w:after="0"/>
        <w:ind w:left="0"/>
        <w:jc w:val="both"/>
      </w:pPr>
      <w:r>
        <w:rPr>
          <w:rFonts w:ascii="Times New Roman"/>
          <w:b w:val="false"/>
          <w:i w:val="false"/>
          <w:color w:val="000000"/>
          <w:sz w:val="28"/>
        </w:rPr>
        <w:t>
      3) букмекерлік кеңселер.</w:t>
      </w:r>
    </w:p>
    <w:bookmarkEnd w:id="42"/>
    <w:p>
      <w:pPr>
        <w:spacing w:after="0"/>
        <w:ind w:left="0"/>
        <w:jc w:val="both"/>
      </w:pPr>
      <w:r>
        <w:rPr>
          <w:rFonts w:ascii="Times New Roman"/>
          <w:b w:val="false"/>
          <w:i w:val="false"/>
          <w:color w:val="000000"/>
          <w:sz w:val="28"/>
        </w:rPr>
        <w:t>
      Объективті критерийлер бойынша тәуекелдің орташа дәрежесін бақылау субъектілеріне (объектілеріне) тотализаторлар жатады.</w:t>
      </w:r>
    </w:p>
    <w:bookmarkStart w:name="z54" w:id="43"/>
    <w:p>
      <w:pPr>
        <w:spacing w:after="0"/>
        <w:ind w:left="0"/>
        <w:jc w:val="left"/>
      </w:pPr>
      <w:r>
        <w:rPr>
          <w:rFonts w:ascii="Times New Roman"/>
          <w:b/>
          <w:i w:val="false"/>
          <w:color w:val="000000"/>
        </w:rPr>
        <w:t xml:space="preserve"> Параграф 2. Субъективті өлшемшарттар</w:t>
      </w:r>
    </w:p>
    <w:bookmarkEnd w:id="43"/>
    <w:bookmarkStart w:name="z55" w:id="44"/>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44"/>
    <w:bookmarkStart w:name="z56" w:id="45"/>
    <w:p>
      <w:pPr>
        <w:spacing w:after="0"/>
        <w:ind w:left="0"/>
        <w:jc w:val="both"/>
      </w:pPr>
      <w:r>
        <w:rPr>
          <w:rFonts w:ascii="Times New Roman"/>
          <w:b w:val="false"/>
          <w:i w:val="false"/>
          <w:color w:val="000000"/>
          <w:sz w:val="28"/>
        </w:rPr>
        <w:t>
      1) деректер базасын қалыптастыру және ақпарат жинау;</w:t>
      </w:r>
    </w:p>
    <w:bookmarkEnd w:id="45"/>
    <w:bookmarkStart w:name="z57" w:id="46"/>
    <w:p>
      <w:pPr>
        <w:spacing w:after="0"/>
        <w:ind w:left="0"/>
        <w:jc w:val="both"/>
      </w:pPr>
      <w:r>
        <w:rPr>
          <w:rFonts w:ascii="Times New Roman"/>
          <w:b w:val="false"/>
          <w:i w:val="false"/>
          <w:color w:val="000000"/>
          <w:sz w:val="28"/>
        </w:rPr>
        <w:t>
      2) ақпаратты талдау және тәуекелдерді бағалау.</w:t>
      </w:r>
    </w:p>
    <w:bookmarkEnd w:id="46"/>
    <w:bookmarkStart w:name="z58" w:id="47"/>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ойын бизнесі туралы заңнамасын бұзатын бақылау және қадағалау субъектілерін (объектілерін) анықтау үшін қажет.</w:t>
      </w:r>
    </w:p>
    <w:bookmarkEnd w:id="47"/>
    <w:bookmarkStart w:name="z59" w:id="48"/>
    <w:p>
      <w:pPr>
        <w:spacing w:after="0"/>
        <w:ind w:left="0"/>
        <w:jc w:val="both"/>
      </w:pPr>
      <w:r>
        <w:rPr>
          <w:rFonts w:ascii="Times New Roman"/>
          <w:b w:val="false"/>
          <w:i w:val="false"/>
          <w:color w:val="000000"/>
          <w:sz w:val="28"/>
        </w:rPr>
        <w:t>
      Бақылау субъектісінің субъективті өлшемшартарының тәуекел дәрежесін бағалау үшін мына ақпарат көздері пайдаланылады:</w:t>
      </w:r>
    </w:p>
    <w:bookmarkEnd w:id="48"/>
    <w:bookmarkStart w:name="z60" w:id="49"/>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49"/>
    <w:bookmarkStart w:name="z61" w:id="50"/>
    <w:p>
      <w:pPr>
        <w:spacing w:after="0"/>
        <w:ind w:left="0"/>
        <w:jc w:val="both"/>
      </w:pPr>
      <w:r>
        <w:rPr>
          <w:rFonts w:ascii="Times New Roman"/>
          <w:b w:val="false"/>
          <w:i w:val="false"/>
          <w:color w:val="000000"/>
          <w:sz w:val="28"/>
        </w:rPr>
        <w:t>
      2) бақылау субъектіге (объектіге) алдыңғы тексерулер мен бару арқылы профилактикалық бақылаудың нәтижелері;</w:t>
      </w:r>
    </w:p>
    <w:bookmarkEnd w:id="50"/>
    <w:bookmarkStart w:name="z62" w:id="51"/>
    <w:p>
      <w:pPr>
        <w:spacing w:after="0"/>
        <w:ind w:left="0"/>
        <w:jc w:val="both"/>
      </w:pPr>
      <w:r>
        <w:rPr>
          <w:rFonts w:ascii="Times New Roman"/>
          <w:b w:val="false"/>
          <w:i w:val="false"/>
          <w:color w:val="000000"/>
          <w:sz w:val="28"/>
        </w:rPr>
        <w:t>
      3) алдынғы біліктілік талаптарына сәйкестігін тексеру натижелері;</w:t>
      </w:r>
    </w:p>
    <w:bookmarkEnd w:id="51"/>
    <w:bookmarkStart w:name="z63" w:id="52"/>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52"/>
    <w:bookmarkStart w:name="z64" w:id="53"/>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53"/>
    <w:bookmarkStart w:name="z65" w:id="54"/>
    <w:p>
      <w:pPr>
        <w:spacing w:after="0"/>
        <w:ind w:left="0"/>
        <w:jc w:val="both"/>
      </w:pPr>
      <w:r>
        <w:rPr>
          <w:rFonts w:ascii="Times New Roman"/>
          <w:b w:val="false"/>
          <w:i w:val="false"/>
          <w:color w:val="000000"/>
          <w:sz w:val="28"/>
        </w:rPr>
        <w:t>
      6) мемлекеттік органдардың, бұқаралық ақпарат құралдарының ресми интернет-ресурстарын талдау;</w:t>
      </w:r>
    </w:p>
    <w:bookmarkEnd w:id="54"/>
    <w:bookmarkStart w:name="z66" w:id="55"/>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болмашы тобына жатқызу осы Өлшемшартарға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жүзеге асырылады.</w:t>
      </w:r>
    </w:p>
    <w:bookmarkStart w:name="z68" w:id="56"/>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және профилактикалық бақылауды шоғырландыруға мүмкіндік береді.</w:t>
      </w:r>
    </w:p>
    <w:bookmarkEnd w:id="56"/>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9" w:id="5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7"/>
    <w:p>
      <w:pPr>
        <w:spacing w:after="0"/>
        <w:ind w:left="0"/>
        <w:jc w:val="left"/>
      </w:pPr>
    </w:p>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біліктілік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72" w:id="58"/>
    <w:p>
      <w:pPr>
        <w:spacing w:after="0"/>
        <w:ind w:left="0"/>
        <w:jc w:val="left"/>
      </w:pPr>
      <w:r>
        <w:rPr>
          <w:rFonts w:ascii="Times New Roman"/>
          <w:b/>
          <w:i w:val="false"/>
          <w:color w:val="000000"/>
        </w:rPr>
        <w:t xml:space="preserve"> Казино және ойын автоматтары залдарының қызметін жүзеге асыратын ойын бизнесін ұйымдастырушыларына арналған Қазақстан Республикасының ойын бизнесі туралы заңнамасын сақтаудың тәуекел дәрежесін бағалаудың субъективті өлшемшарттары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есептік нысанында ойын автоматына технологиялық түрде салынған ұтыстың белгеленген пайызы туралы мәліметтердің болмауы (ойын автоматына технологиялық түрде салынған ұтыс пайызы тоқсан бес пайыздан төмен болмауға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есептік нысанында бейнежазу жүйелерінің техникалық жай-күйі туралы мәліметтердің болмауы (ойын мекемелерінің кассалары мен ойын орындары жазылған ақпаратты кемінде жеті тәулік сақтауды қамтамасыз ететін және құмар ойнына барлық қатысушылардың әрекеттерін тіркейтін бейне жазу жүйелерімен жабдықталуға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есептік нысанында ойын үстелдерінің санын өзгерту, лицензия алу кезінде көрсетілген жабдықты ауыстыру туралы мәліметтердің болмауы (бір казинода кемінде отыз ойын автоматы орнатылуға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есептік нысанында ойын үстелдерінің санын өзгерту, лицензия алу кезінде көрсетілген жабдықты ауыстыру туралы мәліметтердің болмауы (бір ойын автоматтары залдарында кемінде алпыс ойын автоматы орнатылуға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казино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ойын автоматтары залдары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үш айда кемінде бір рет банктік салым шартын жасасу кезінде ашылған банк шоттары бойынша ақшаның болуы және қозғалысы туралы анықтамаларды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субъектіге (объектіге) алдыңғы жоспардан тыс тексерулер мен бару арқылы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салынған тыйым салу туралы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салынған тыйым салу туралы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Алдынғы біліктілік талаптарына сәйкестігін тексеру натижелері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қызметін жүзеге асыру үшiн меншiк құқығындағы немесе өзге де заңды негіздегі үйдің (үй, құрылыс, ғимарат бөлiктерiнiң)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 бұзу фактілері бар мемлекеттік органдардан алынған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фактісін растайтын құжаттарды қоса бере отырып, ойын бизнесін ұйымдастырушылар құқықтарын бұзған жеке және заңды тұлғалардан бір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фактісін растайтын құжаттарды қоса бере отырып, ойын бизнесін ұйымдастырушылар құқықтарын бұзған жеке және заңды тұлғалардан 2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Бақылау субъектісіне (объектісіне) бармай профилактикалық бақылау жүргізу нәтижелері (бақылау субъектісіне (объектісіне) бармай профилактикалық бақылау нәтижелері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74" w:id="59"/>
    <w:p>
      <w:pPr>
        <w:spacing w:after="0"/>
        <w:ind w:left="0"/>
        <w:jc w:val="left"/>
      </w:pPr>
      <w:r>
        <w:rPr>
          <w:rFonts w:ascii="Times New Roman"/>
          <w:b/>
          <w:i w:val="false"/>
          <w:color w:val="000000"/>
        </w:rPr>
        <w:t xml:space="preserve"> Букмекерлік кеңселер және тотализаторлар қызметін жүзеге асыратын ойын бизнесін ұйымдастырушыларға арналған Қазақстан Республикасының ойын бизнесі туралы заңнамасын сақтаудың тәуекел дәрежелерін бағалаудың субъективті өлшемшарттары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букмеркерлік кеңселер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тотализаторлар қызметін жүзеге асыру үшін банктік салым шартын жасасқан кезде ашылған банк шоттары бойынша ақшаның болуы туралы мәліметтердің болмауы (міндетті резервтер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букмеркерлік кеңселер қызметін жүзеге асыру үшін банктік салым шартын жасасқан кезде ашылған банк шоттары бойынша ақшаның қозғалысы туралы мәліметтердің болмауы (міндетті резервтер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анықтамаларда тотализаторлар қызметін жүзеге асыру үшін банктік салым шартын жасасқан кезде ашылған банк шоттары бойынша ақшаның қозғалысы туралы мәліметтердің болмауы (міндетті резервтер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есептік нысанында бейнежазу жүйелерінің техникалық жай-күйі туралы мәліметтердің болмауы (ойын мекемелерінің кассалары мен ойын орындары жазылған ақпаратты кемінде жеті тәулік сақтауды қамтамасыз ететін және бәс тігуге барлық қатысушылардың әрекеттерін тіркейтін бейне жазу жүйелерімен жабдықталуға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үш айда кемінде бір рет банктік салым шартын жасасу кезінде ашылған банк шоттары бойынша ақшаның болуы және қозғалысы туралы анықтамаларды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субъектіге (объектіге) алдыңғы тексерулер мен бару арқылы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касалалары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ұйымдастырушылардың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ұйымдастырушылардың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ұйымдастырушылардың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талаптарын орындамауы.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касалалары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ат-спорт жарыстары (ат жарыстары, жүгіру) және (немесе) ит жарыстары шеңберінде болып жатқан алдағы нақты оқиғаларға ставкалар қабылдау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Тотализатор қызметін жүзеге асыратын ойын бизнесін ұйымдастырушылардың аппараттық-бағдарламалық кешенмен жабдықталуына қойылатын талаптарды сақтамауы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ұйымдастырушылардың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талаптарын орындамауы.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ұйымдастырушыларына қойылатын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талаптарды орындамауы.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Алдынғы біліктілік талаптарына сәйкестігін тексеру натижелері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ойын бизнесі туралы заңнамасын бұзу фактілері бар мемлекеттік органдардан алынған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фактісін растайтын құжаттарды қоса бере отырып, ойын бизнесін ұйымдастырушылар құқықтарын бұзған жеке және заңды тұлғалардан бір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фактісін растайтын құжаттарды қоса бере отырып, ойын бизнесін ұйымдастырушылар құқықтарын бұзған жеке және заңды тұлғалардан 2 (екі) және одан да көп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Бақылау субъектісіне (объектісіне) бармай профилактикалық бақылау жүргізу нәтижелері (бақылау субъектісіне (объектісіне) бармай профилактикалық бақылау нәтижелері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2-қосымша</w:t>
            </w:r>
          </w:p>
        </w:tc>
      </w:tr>
    </w:tbl>
    <w:bookmarkStart w:name="z77" w:id="60"/>
    <w:p>
      <w:pPr>
        <w:spacing w:after="0"/>
        <w:ind w:left="0"/>
        <w:jc w:val="left"/>
      </w:pPr>
      <w:r>
        <w:rPr>
          <w:rFonts w:ascii="Times New Roman"/>
          <w:b/>
          <w:i w:val="false"/>
          <w:color w:val="000000"/>
        </w:rPr>
        <w:t xml:space="preserve">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0"/>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салынған тыйым салу туралы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3-қосымша</w:t>
            </w:r>
          </w:p>
        </w:tc>
      </w:tr>
    </w:tbl>
    <w:bookmarkStart w:name="z80" w:id="61"/>
    <w:p>
      <w:pPr>
        <w:spacing w:after="0"/>
        <w:ind w:left="0"/>
        <w:jc w:val="left"/>
      </w:pPr>
      <w:r>
        <w:rPr>
          <w:rFonts w:ascii="Times New Roman"/>
          <w:b/>
          <w:i w:val="false"/>
          <w:color w:val="000000"/>
        </w:rPr>
        <w:t xml:space="preserve">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1"/>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салынған тыйым салу туралы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4-қосымша</w:t>
            </w:r>
          </w:p>
        </w:tc>
      </w:tr>
    </w:tbl>
    <w:bookmarkStart w:name="z83" w:id="62"/>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2"/>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касалалары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ұйымдастырушылардың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ұйымдастырушылардың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ұйымдастырушылардың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талаптарын орындамауы.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86" w:id="63"/>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3"/>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касалалары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ат-спорт жарыстары (ат жарыстары, жүгіру) және (немесе) ит жарыстары шеңберінде болып жатқан алдағы нақты оқиғаларға ставкалар қабылдау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ұйымдастырушылардың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талаптарын орындамауы.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ұйымдастырушыларына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талаптарды орындамауы.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21 желтоқсандағы</w:t>
            </w:r>
            <w:r>
              <w:br/>
            </w:r>
            <w:r>
              <w:rPr>
                <w:rFonts w:ascii="Times New Roman"/>
                <w:b w:val="false"/>
                <w:i w:val="false"/>
                <w:color w:val="000000"/>
                <w:sz w:val="20"/>
              </w:rPr>
              <w:t>№ 133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20 желтоқсандағы</w:t>
            </w:r>
            <w:r>
              <w:br/>
            </w:r>
            <w:r>
              <w:rPr>
                <w:rFonts w:ascii="Times New Roman"/>
                <w:b w:val="false"/>
                <w:i w:val="false"/>
                <w:color w:val="000000"/>
                <w:sz w:val="20"/>
              </w:rPr>
              <w:t>№ 371 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6-қосымша</w:t>
            </w:r>
          </w:p>
        </w:tc>
      </w:tr>
    </w:tbl>
    <w:bookmarkStart w:name="z89" w:id="64"/>
    <w:p>
      <w:pPr>
        <w:spacing w:after="0"/>
        <w:ind w:left="0"/>
        <w:jc w:val="left"/>
      </w:pPr>
      <w:r>
        <w:rPr>
          <w:rFonts w:ascii="Times New Roman"/>
          <w:b/>
          <w:i w:val="false"/>
          <w:color w:val="000000"/>
        </w:rPr>
        <w:t xml:space="preserve">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64"/>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қызметін жүзеге асыру үшiн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