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c5f4" w14:textId="aa4c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жарнама туралы заңнамасының сақталуына тәуекел дәрежесін бағалау өлшемшарттары мен тексеру парағын бекіту туралы" Қазақстан Республикасы Ұлттық экономика министрінің 2019 жылғы 29 наурыздағы № 22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28 қарашадағы № 94 бұйрығы. Қазақстан Республикасының Әділет министрлігінде 2022 жылғы 29 қарашада № 30782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жарнама туралы заңнамасының сақталуына тәуекел дәрежесін бағалау өлшемшарттары мен тексеру парағын бекіту туралы" Қазақстан Республикасы Ұлттық экономика министрінің 2019 жылғы 29 наурыздағы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 статистика</w:t>
      </w:r>
    </w:p>
    <w:p>
      <w:pPr>
        <w:spacing w:after="0"/>
        <w:ind w:left="0"/>
        <w:jc w:val="both"/>
      </w:pPr>
      <w:r>
        <w:rPr>
          <w:rFonts w:ascii="Times New Roman"/>
          <w:b w:val="false"/>
          <w:i w:val="false"/>
          <w:color w:val="000000"/>
          <w:sz w:val="28"/>
        </w:rPr>
        <w:t>
      және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w:t>
            </w:r>
            <w:r>
              <w:br/>
            </w:r>
            <w:r>
              <w:rPr>
                <w:rFonts w:ascii="Times New Roman"/>
                <w:b w:val="false"/>
                <w:i w:val="false"/>
                <w:color w:val="000000"/>
                <w:sz w:val="20"/>
              </w:rPr>
              <w:t>2022 жылғы 28 қарашадағы</w:t>
            </w:r>
            <w:r>
              <w:br/>
            </w:r>
            <w:r>
              <w:rPr>
                <w:rFonts w:ascii="Times New Roman"/>
                <w:b w:val="false"/>
                <w:i w:val="false"/>
                <w:color w:val="000000"/>
                <w:sz w:val="20"/>
              </w:rPr>
              <w:t>№ 94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22 бұйрығына</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Қазақстан Республикасының жарнама туралы заңнамасының сақталуына тәуекел дәрежесін бағалау өлшемшарттары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Жарнама туралы заңнамасының сақталуына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6-тармағына</w:t>
      </w:r>
      <w:r>
        <w:rPr>
          <w:rFonts w:ascii="Times New Roman"/>
          <w:b w:val="false"/>
          <w:i w:val="false"/>
          <w:color w:val="000000"/>
          <w:sz w:val="28"/>
        </w:rPr>
        <w:t xml:space="preserve">, сондай-ақ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министрінің міндетін атқарушының 2022 жылғы 22 маусымдағы № 48 бұйрығына (нормативтік құқықтық актілерді мемлекеттік тіркеу тізілімінде № 28577 болып тіркелген) сәйкес әзірленді және жарнама қызметі саласындағы бақылау субъектілерін іріктеуге және оларды жарнама қызметі саласындағы уәкілетті орган бақылау жүргізу кезінде тәуекел дәрежесіне жатқызуға арналған.</w:t>
      </w:r>
    </w:p>
    <w:bookmarkEnd w:id="10"/>
    <w:bookmarkStart w:name="z13" w:id="11"/>
    <w:p>
      <w:pPr>
        <w:spacing w:after="0"/>
        <w:ind w:left="0"/>
        <w:jc w:val="both"/>
      </w:pPr>
      <w:r>
        <w:rPr>
          <w:rFonts w:ascii="Times New Roman"/>
          <w:b w:val="false"/>
          <w:i w:val="false"/>
          <w:color w:val="000000"/>
          <w:sz w:val="28"/>
        </w:rPr>
        <w:t>
      2. Өлшемшарттарда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бақылау субъектілері (объектілері) – қызметіне Қазақстан Республикасының жарнама туралы заңнамасының сақталуына бақылау жүргізілетін жеке және заңды тұлғалар;</w:t>
      </w:r>
    </w:p>
    <w:bookmarkEnd w:id="12"/>
    <w:bookmarkStart w:name="z15" w:id="13"/>
    <w:p>
      <w:pPr>
        <w:spacing w:after="0"/>
        <w:ind w:left="0"/>
        <w:jc w:val="both"/>
      </w:pPr>
      <w:r>
        <w:rPr>
          <w:rFonts w:ascii="Times New Roman"/>
          <w:b w:val="false"/>
          <w:i w:val="false"/>
          <w:color w:val="000000"/>
          <w:sz w:val="28"/>
        </w:rPr>
        <w:t>
      2) елеулі емес бұзушылықтар – сыртқы (көрнекi) жарнама объектісін орналастыру мерзімі өткен соң оны бұзуға қатысты Қазақстан Республикасының жарнама туралы заңнамасының сақталуына нормативтік құқықтық актілерде белгіленген талаптарды бұзу;</w:t>
      </w:r>
    </w:p>
    <w:bookmarkEnd w:id="13"/>
    <w:bookmarkStart w:name="z16" w:id="14"/>
    <w:p>
      <w:pPr>
        <w:spacing w:after="0"/>
        <w:ind w:left="0"/>
        <w:jc w:val="both"/>
      </w:pPr>
      <w:r>
        <w:rPr>
          <w:rFonts w:ascii="Times New Roman"/>
          <w:b w:val="false"/>
          <w:i w:val="false"/>
          <w:color w:val="000000"/>
          <w:sz w:val="28"/>
        </w:rPr>
        <w:t>
      3) елеулі бұзушылықтар – Қазақстан Республикасының заңнамасына сәйкес тіркелмеген бірлестіктер мен рухани (діни) білім беру ұйымдарының жарнамасын орналастыруға тыйым салуды сақтауға қатысты Қазақстан Республикасының жарнама туралы заңнамасының сақталуына нормативтік құқықтық актілерде белгіленген талаптарды бұзу;</w:t>
      </w:r>
    </w:p>
    <w:bookmarkEnd w:id="14"/>
    <w:bookmarkStart w:name="z17" w:id="15"/>
    <w:p>
      <w:pPr>
        <w:spacing w:after="0"/>
        <w:ind w:left="0"/>
        <w:jc w:val="both"/>
      </w:pPr>
      <w:r>
        <w:rPr>
          <w:rFonts w:ascii="Times New Roman"/>
          <w:b w:val="false"/>
          <w:i w:val="false"/>
          <w:color w:val="000000"/>
          <w:sz w:val="28"/>
        </w:rPr>
        <w:t>
      4) өрескел бұзушылықтар – әкімшілік жауапкершілікке алып келетін қызметті немесе әрекеттерді жүзеге асыру басталғанға дейін хабарландырудың болмауына және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үгiттеуге, сондай-ақ Қазақстан Республикасының мемлекеттiк құпияларын және заңмен қорғалатын өзге де құпияларды құрайтын мәлiметтердi таратуға қатысты Қазақстан Республикасының жарнама туралы заңнамасының сақталуына нормативтік құқықтық актілерде белгіленген талаптарды бұзу;</w:t>
      </w:r>
    </w:p>
    <w:bookmarkEnd w:id="15"/>
    <w:bookmarkStart w:name="z18" w:id="16"/>
    <w:p>
      <w:pPr>
        <w:spacing w:after="0"/>
        <w:ind w:left="0"/>
        <w:jc w:val="both"/>
      </w:pPr>
      <w:r>
        <w:rPr>
          <w:rFonts w:ascii="Times New Roman"/>
          <w:b w:val="false"/>
          <w:i w:val="false"/>
          <w:color w:val="000000"/>
          <w:sz w:val="28"/>
        </w:rPr>
        <w:t>
      5) тәуекел – салдарының ауырлық дәрежесі ескеріле отырып,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зиян келтіру ықтималдығы;</w:t>
      </w:r>
    </w:p>
    <w:bookmarkEnd w:id="16"/>
    <w:bookmarkStart w:name="z19" w:id="17"/>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және салалық даму ерекшеліктері мен осы дамуға ықпал ететін факторларға байланысты, бақылау субъектілерін (объектілерін) түрлі тәуекелдер дәрежесіне жатқызуға мүмкіндік беретін сандық және сапалық көрсеткіштер;</w:t>
      </w:r>
    </w:p>
    <w:bookmarkEnd w:id="17"/>
    <w:bookmarkStart w:name="z20" w:id="18"/>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тікелей жеке бақылау субъектісіне (объектісіне) байланысты емес бақылау және қадағалау субъектілерін (объектілерін) іріктеу үшін пайдаланылатын тәуекел дәрежесін бағалау өлшемшарттары;</w:t>
      </w:r>
    </w:p>
    <w:bookmarkEnd w:id="18"/>
    <w:bookmarkStart w:name="z21" w:id="19"/>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22" w:id="20"/>
    <w:p>
      <w:pPr>
        <w:spacing w:after="0"/>
        <w:ind w:left="0"/>
        <w:jc w:val="both"/>
      </w:pPr>
      <w:r>
        <w:rPr>
          <w:rFonts w:ascii="Times New Roman"/>
          <w:b w:val="false"/>
          <w:i w:val="false"/>
          <w:color w:val="000000"/>
          <w:sz w:val="28"/>
        </w:rPr>
        <w:t>
      9) тәуекелдерді бағалау және басқару жүйесі – бұл ретте тиісті қызмет салаларында тәуекелдің жол берілетін деңгейін қамтамасыз ете отырып, кейін кәсіпкерлік еркіндігін шектеудің ең төменгі ықтимал дәрежесін қамтамасыз ету мақсатында бақылау субъектісіне барып профилактикалық бақылауды және (немесе) талаптарға сәйкестігін тексерулерді жүзеге асыру үшін бақылау субъектілерін тәуекел дәрежелері бойынша бөлу жолымен қолайсыз факторлардың басталу ықтималдығын төмендетуге бағытталған, сондай-ақ нақты бақылау субъектісі (объектісі) үшін тәуекел деңгейін өзгертуге және (немесе) осындай бақылау субъектісін (объектісін) бақылау субъектісіне (объектісіне) барып профилактикалық бақылаудан және (немесе) талаптарға сәйкестігін тексеруден босатуға бағытталған басқару шешімдерін қабылдау процесі;</w:t>
      </w:r>
    </w:p>
    <w:bookmarkEnd w:id="20"/>
    <w:bookmarkStart w:name="z23" w:id="21"/>
    <w:p>
      <w:pPr>
        <w:spacing w:after="0"/>
        <w:ind w:left="0"/>
        <w:jc w:val="both"/>
      </w:pPr>
      <w:r>
        <w:rPr>
          <w:rFonts w:ascii="Times New Roman"/>
          <w:b w:val="false"/>
          <w:i w:val="false"/>
          <w:color w:val="000000"/>
          <w:sz w:val="28"/>
        </w:rPr>
        <w:t>
      10) тексеру парағы – сақталмауы адамның өмірі мен денсаулығына, қоршаған ортаға, жеке және заңды тұлғалардың, мемлекеттің заңды мүдделеріне қатер төндіруге алып келетін, бақылау субъектілерінің (объектілерінің) қызметіне қойылатын талаптар тізбесі.</w:t>
      </w:r>
    </w:p>
    <w:bookmarkEnd w:id="21"/>
    <w:bookmarkStart w:name="z24" w:id="22"/>
    <w:p>
      <w:pPr>
        <w:spacing w:after="0"/>
        <w:ind w:left="0"/>
        <w:jc w:val="both"/>
      </w:pPr>
      <w:r>
        <w:rPr>
          <w:rFonts w:ascii="Times New Roman"/>
          <w:b w:val="false"/>
          <w:i w:val="false"/>
          <w:color w:val="000000"/>
          <w:sz w:val="28"/>
        </w:rPr>
        <w:t xml:space="preserve">
      3. Бақылау субъектісіне (объектісіне) барып профилактикалық бақылау жүргізу және (немесе) талаптарға сәйкестігін тексеру үшін қолданылатын тәуекел дәрежесін бағалау өлшемшарттары мен тексеру парақтарын кәсіпкерлік жөніндегі уәкілетті органның актісімен бекітіледі және Кодекстің 141-бабының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реттеуші мемлекеттік органдардың интернет ресурстарында орналастырылады.</w:t>
      </w:r>
    </w:p>
    <w:bookmarkEnd w:id="22"/>
    <w:p>
      <w:pPr>
        <w:spacing w:after="0"/>
        <w:ind w:left="0"/>
        <w:jc w:val="both"/>
      </w:pPr>
      <w:r>
        <w:rPr>
          <w:rFonts w:ascii="Times New Roman"/>
          <w:b w:val="false"/>
          <w:i w:val="false"/>
          <w:color w:val="000000"/>
          <w:sz w:val="28"/>
        </w:rPr>
        <w:t>
      Мемлекеттік органдардың тәуекел дәрежесін бағалау және тәуекелдерді басқару өлшемшарттарын, тексеру парақтарын бекіту туралы нормативтік құқықтық актілері олар бекітілгенге дейін тәуекелдерді бағалау мен басқару жүйелерін автоматтандырудың техникалық мүмкіндігі және тексеру субъектілері мен объектілерінің бірыңғай тізілімі – ақпараттық жүйесінің талаптарына сәйкестігі тұрғысынан құқықтық статистика және арнайы есепке алу жөніндегі уәкілетті органмен келісілуге жатады.</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органның келісу мерзімі жоба келісуге келіп түскен күннен бастап бес жұмыс күнін құрайды.</w:t>
      </w:r>
    </w:p>
    <w:bookmarkStart w:name="z25" w:id="23"/>
    <w:p>
      <w:pPr>
        <w:spacing w:after="0"/>
        <w:ind w:left="0"/>
        <w:jc w:val="left"/>
      </w:pPr>
      <w:r>
        <w:rPr>
          <w:rFonts w:ascii="Times New Roman"/>
          <w:b/>
          <w:i w:val="false"/>
          <w:color w:val="000000"/>
        </w:rPr>
        <w:t xml:space="preserve"> 2-тарау. Бақылау субъектілеріне (объектілеріне) талаптарға сәйкестігі тұғысынан тексеру және профилактикалық бақылау жүргізу кезінде тәуекелдерді бағалау және басқару жүйесін қалыптастыру</w:t>
      </w:r>
    </w:p>
    <w:bookmarkEnd w:id="23"/>
    <w:bookmarkStart w:name="z26" w:id="24"/>
    <w:p>
      <w:pPr>
        <w:spacing w:after="0"/>
        <w:ind w:left="0"/>
        <w:jc w:val="both"/>
      </w:pPr>
      <w:r>
        <w:rPr>
          <w:rFonts w:ascii="Times New Roman"/>
          <w:b w:val="false"/>
          <w:i w:val="false"/>
          <w:color w:val="000000"/>
          <w:sz w:val="28"/>
        </w:rPr>
        <w:t>
      4. Бақылау субъектісіне (объектісіне) барып профилактикалық бақылауды және талаптарына сәйкестігін тексеруді жүзеге асыру кезінде бақылау субъектісі (объектісі) мынадай тәуекел дәрежелерінің біріне (бұдан әрі – тәуекел дәрежесі) жатады:</w:t>
      </w:r>
    </w:p>
    <w:bookmarkEnd w:id="24"/>
    <w:bookmarkStart w:name="z27" w:id="25"/>
    <w:p>
      <w:pPr>
        <w:spacing w:after="0"/>
        <w:ind w:left="0"/>
        <w:jc w:val="both"/>
      </w:pPr>
      <w:r>
        <w:rPr>
          <w:rFonts w:ascii="Times New Roman"/>
          <w:b w:val="false"/>
          <w:i w:val="false"/>
          <w:color w:val="000000"/>
          <w:sz w:val="28"/>
        </w:rPr>
        <w:t>
      1) жоғары тәуекел;</w:t>
      </w:r>
    </w:p>
    <w:bookmarkEnd w:id="25"/>
    <w:bookmarkStart w:name="z28" w:id="26"/>
    <w:p>
      <w:pPr>
        <w:spacing w:after="0"/>
        <w:ind w:left="0"/>
        <w:jc w:val="both"/>
      </w:pPr>
      <w:r>
        <w:rPr>
          <w:rFonts w:ascii="Times New Roman"/>
          <w:b w:val="false"/>
          <w:i w:val="false"/>
          <w:color w:val="000000"/>
          <w:sz w:val="28"/>
        </w:rPr>
        <w:t>
      2) орташа тәуекел.</w:t>
      </w:r>
    </w:p>
    <w:bookmarkEnd w:id="26"/>
    <w:p>
      <w:pPr>
        <w:spacing w:after="0"/>
        <w:ind w:left="0"/>
        <w:jc w:val="both"/>
      </w:pPr>
      <w:r>
        <w:rPr>
          <w:rFonts w:ascii="Times New Roman"/>
          <w:b w:val="false"/>
          <w:i w:val="false"/>
          <w:color w:val="000000"/>
          <w:sz w:val="28"/>
        </w:rPr>
        <w:t>
      Бақылау субъектісіне (объектісіне) барып профилактикалық бақылау жүргізудің еселігі жүргізілетін талдаудың және субъективті өлшемшарттар бойынша алынған мәліметтерді бағалаудың нәтижелері бойынша, бірақ жылына екі реттен жиі емес анықталады.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субъектілерінің (объектілерінің) қызмет салалары үшін талаптарға сәйкестігі тұрғысынан тексерулер жүргізудің еселігі тәуекел дәрежесін бағалау өлшемшарттарында, бірақ жылына бір реттен жиі емес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өлшемшарттарында, бірақ жылына бір реттен жиі емес айқындалады.</w:t>
      </w:r>
    </w:p>
    <w:bookmarkStart w:name="z29" w:id="27"/>
    <w:p>
      <w:pPr>
        <w:spacing w:after="0"/>
        <w:ind w:left="0"/>
        <w:jc w:val="both"/>
      </w:pPr>
      <w:r>
        <w:rPr>
          <w:rFonts w:ascii="Times New Roman"/>
          <w:b w:val="false"/>
          <w:i w:val="false"/>
          <w:color w:val="000000"/>
          <w:sz w:val="28"/>
        </w:rPr>
        <w:t>
      5. Бақылау субъектісін (объектісін)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27"/>
    <w:bookmarkStart w:name="z30" w:id="28"/>
    <w:p>
      <w:pPr>
        <w:spacing w:after="0"/>
        <w:ind w:left="0"/>
        <w:jc w:val="left"/>
      </w:pPr>
      <w:r>
        <w:rPr>
          <w:rFonts w:ascii="Times New Roman"/>
          <w:b/>
          <w:i w:val="false"/>
          <w:color w:val="000000"/>
        </w:rPr>
        <w:t xml:space="preserve"> 1-параграф. Объективті өлшемшарттар</w:t>
      </w:r>
    </w:p>
    <w:bookmarkEnd w:id="28"/>
    <w:bookmarkStart w:name="z31" w:id="29"/>
    <w:p>
      <w:pPr>
        <w:spacing w:after="0"/>
        <w:ind w:left="0"/>
        <w:jc w:val="both"/>
      </w:pPr>
      <w:r>
        <w:rPr>
          <w:rFonts w:ascii="Times New Roman"/>
          <w:b w:val="false"/>
          <w:i w:val="false"/>
          <w:color w:val="000000"/>
          <w:sz w:val="28"/>
        </w:rPr>
        <w:t>
      6.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өлшемшарттарі объективті және субъективті өлшемшарттарді айқындау арқылы қалыптастырылады.</w:t>
      </w:r>
    </w:p>
    <w:bookmarkEnd w:id="29"/>
    <w:bookmarkStart w:name="z32" w:id="30"/>
    <w:p>
      <w:pPr>
        <w:spacing w:after="0"/>
        <w:ind w:left="0"/>
        <w:jc w:val="both"/>
      </w:pPr>
      <w:r>
        <w:rPr>
          <w:rFonts w:ascii="Times New Roman"/>
          <w:b w:val="false"/>
          <w:i w:val="false"/>
          <w:color w:val="000000"/>
          <w:sz w:val="28"/>
        </w:rPr>
        <w:t>
      7. Объективті өлшемшарттарды айқындау тәуекелді анықтау арқылы жүзеге асырылады.</w:t>
      </w:r>
    </w:p>
    <w:bookmarkEnd w:id="30"/>
    <w:bookmarkStart w:name="z33" w:id="31"/>
    <w:p>
      <w:pPr>
        <w:spacing w:after="0"/>
        <w:ind w:left="0"/>
        <w:jc w:val="both"/>
      </w:pPr>
      <w:r>
        <w:rPr>
          <w:rFonts w:ascii="Times New Roman"/>
          <w:b w:val="false"/>
          <w:i w:val="false"/>
          <w:color w:val="000000"/>
          <w:sz w:val="28"/>
        </w:rPr>
        <w:t xml:space="preserve">
      8. Тәуекелді айқындау мынадай өлшемшарттардың бірін: </w:t>
      </w:r>
    </w:p>
    <w:bookmarkEnd w:id="31"/>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(аяға) түсетін ықтимал теріс салдардың, зиянның ауырлық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басталу мүмкіндігі ескеріле отырып, мемлекеттік бақылау жүзеге асырылатын саланың ерекшелігіне байланысты жүзеге асырылады.</w:t>
      </w:r>
    </w:p>
    <w:bookmarkStart w:name="z34" w:id="32"/>
    <w:p>
      <w:pPr>
        <w:spacing w:after="0"/>
        <w:ind w:left="0"/>
        <w:jc w:val="both"/>
      </w:pPr>
      <w:r>
        <w:rPr>
          <w:rFonts w:ascii="Times New Roman"/>
          <w:b w:val="false"/>
          <w:i w:val="false"/>
          <w:color w:val="000000"/>
          <w:sz w:val="28"/>
        </w:rPr>
        <w:t>
      9. Ықтимал тәуекелдерге талдау жүргізілгеннен кейін бақылау субъектілері (объектілері) екі тәуекел дәрежесі (жоғары және орташа) бойынша бөлінеді.</w:t>
      </w:r>
    </w:p>
    <w:bookmarkEnd w:id="32"/>
    <w:p>
      <w:pPr>
        <w:spacing w:after="0"/>
        <w:ind w:left="0"/>
        <w:jc w:val="both"/>
      </w:pPr>
      <w:r>
        <w:rPr>
          <w:rFonts w:ascii="Times New Roman"/>
          <w:b w:val="false"/>
          <w:i w:val="false"/>
          <w:color w:val="000000"/>
          <w:sz w:val="28"/>
        </w:rPr>
        <w:t>
      жоғары тәуекел дәрежесіне - жарнама таратушылар жатады;</w:t>
      </w:r>
    </w:p>
    <w:p>
      <w:pPr>
        <w:spacing w:after="0"/>
        <w:ind w:left="0"/>
        <w:jc w:val="both"/>
      </w:pPr>
      <w:r>
        <w:rPr>
          <w:rFonts w:ascii="Times New Roman"/>
          <w:b w:val="false"/>
          <w:i w:val="false"/>
          <w:color w:val="000000"/>
          <w:sz w:val="28"/>
        </w:rPr>
        <w:t>
      орташа тәуекел дәрежесіне - жарнама өндірушілер, жарнама берушілер жатады.</w:t>
      </w:r>
    </w:p>
    <w:bookmarkStart w:name="z35" w:id="33"/>
    <w:p>
      <w:pPr>
        <w:spacing w:after="0"/>
        <w:ind w:left="0"/>
        <w:jc w:val="left"/>
      </w:pPr>
      <w:r>
        <w:rPr>
          <w:rFonts w:ascii="Times New Roman"/>
          <w:b/>
          <w:i w:val="false"/>
          <w:color w:val="000000"/>
        </w:rPr>
        <w:t xml:space="preserve"> 2-параграф. Субъективті өлшемшарттар</w:t>
      </w:r>
    </w:p>
    <w:bookmarkEnd w:id="33"/>
    <w:bookmarkStart w:name="z36" w:id="34"/>
    <w:p>
      <w:pPr>
        <w:spacing w:after="0"/>
        <w:ind w:left="0"/>
        <w:jc w:val="both"/>
      </w:pPr>
      <w:r>
        <w:rPr>
          <w:rFonts w:ascii="Times New Roman"/>
          <w:b w:val="false"/>
          <w:i w:val="false"/>
          <w:color w:val="000000"/>
          <w:sz w:val="28"/>
        </w:rPr>
        <w:t>
      10. Субъективті өлшемшарттарды айқындау мынадай:</w:t>
      </w:r>
    </w:p>
    <w:bookmarkEnd w:id="34"/>
    <w:bookmarkStart w:name="z37"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38" w:id="36"/>
    <w:p>
      <w:pPr>
        <w:spacing w:after="0"/>
        <w:ind w:left="0"/>
        <w:jc w:val="both"/>
      </w:pPr>
      <w:r>
        <w:rPr>
          <w:rFonts w:ascii="Times New Roman"/>
          <w:b w:val="false"/>
          <w:i w:val="false"/>
          <w:color w:val="000000"/>
          <w:sz w:val="28"/>
        </w:rPr>
        <w:t>
      2) ақпаратты талдау және тәуекелдерді бағалау кезеңдері қолданыла отырып, жүзеге асырылады.</w:t>
      </w:r>
    </w:p>
    <w:bookmarkEnd w:id="36"/>
    <w:bookmarkStart w:name="z39" w:id="3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37"/>
    <w:p>
      <w:pPr>
        <w:spacing w:after="0"/>
        <w:ind w:left="0"/>
        <w:jc w:val="both"/>
      </w:pPr>
      <w:r>
        <w:rPr>
          <w:rFonts w:ascii="Times New Roman"/>
          <w:b w:val="false"/>
          <w:i w:val="false"/>
          <w:color w:val="000000"/>
          <w:sz w:val="28"/>
        </w:rPr>
        <w:t>
      Тәуекел дәрежесін бағалау үшін мынадай ақпарат көздері:</w:t>
      </w:r>
    </w:p>
    <w:bookmarkStart w:name="z40" w:id="38"/>
    <w:p>
      <w:pPr>
        <w:spacing w:after="0"/>
        <w:ind w:left="0"/>
        <w:jc w:val="both"/>
      </w:pPr>
      <w:r>
        <w:rPr>
          <w:rFonts w:ascii="Times New Roman"/>
          <w:b w:val="false"/>
          <w:i w:val="false"/>
          <w:color w:val="000000"/>
          <w:sz w:val="28"/>
        </w:rPr>
        <w:t>
      1) бақылау субъектілеріне (объектілеріне) барып алдыңғы тексерулер мен профилактикалық бақылаудың нәтижелері;</w:t>
      </w:r>
    </w:p>
    <w:bookmarkEnd w:id="38"/>
    <w:bookmarkStart w:name="z41" w:id="39"/>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39"/>
    <w:bookmarkStart w:name="z42" w:id="40"/>
    <w:p>
      <w:pPr>
        <w:spacing w:after="0"/>
        <w:ind w:left="0"/>
        <w:jc w:val="both"/>
      </w:pPr>
      <w:r>
        <w:rPr>
          <w:rFonts w:ascii="Times New Roman"/>
          <w:b w:val="false"/>
          <w:i w:val="false"/>
          <w:color w:val="000000"/>
          <w:sz w:val="28"/>
        </w:rPr>
        <w:t>
      3) бақылау субъектілеріне (объектілеріне) бармай профилактикалық бақылау нәтижелері (Қазақстан Республикасының жарнама туралы заңнамасының сақталуына бақылау субъектісіне (объектісіне) бармай профилактикалық бақылаудың қорытындысы бойынша берілген қорытынды құжаттар (анықтама, қорытынды, ұсынымдар) пайдаланылады.</w:t>
      </w:r>
    </w:p>
    <w:bookmarkEnd w:id="40"/>
    <w:bookmarkStart w:name="z43" w:id="41"/>
    <w:p>
      <w:pPr>
        <w:spacing w:after="0"/>
        <w:ind w:left="0"/>
        <w:jc w:val="both"/>
      </w:pPr>
      <w:r>
        <w:rPr>
          <w:rFonts w:ascii="Times New Roman"/>
          <w:b w:val="false"/>
          <w:i w:val="false"/>
          <w:color w:val="000000"/>
          <w:sz w:val="28"/>
        </w:rPr>
        <w:t>
      12. Қолда бар ақпарат көздерінің негізінде реттеуші мемлекеттік органдар Өлшемшарттарға қосымшаға сәйкес бағалауға жататын субъективті өлшемшарттарды қалыптастырады.</w:t>
      </w:r>
    </w:p>
    <w:bookmarkEnd w:id="41"/>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талаптарға сәйкестігі тұрғысынан тексеру жүргізуді және профилактикалық бақылауды неғұрлым ықтимал тәуекелі бар бақылау субъектісіне (объектісіне) қатысты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барып профилактикалық бақылаудың және (немесе) талаптарға сәйкестігін тексерудің қорытындысы бойынша берілген бұзушылықтарды толық көлемде жойған бақылау субъектілеріне қатысты оларды кезекті мемлекеттік бақылау кезеңіне кестелер мен тізімдерді қалыптастыру кезінде қосуға жол берілмейді.</w:t>
      </w:r>
    </w:p>
    <w:bookmarkStart w:name="z44" w:id="42"/>
    <w:p>
      <w:pPr>
        <w:spacing w:after="0"/>
        <w:ind w:left="0"/>
        <w:jc w:val="both"/>
      </w:pPr>
      <w:r>
        <w:rPr>
          <w:rFonts w:ascii="Times New Roman"/>
          <w:b w:val="false"/>
          <w:i w:val="false"/>
          <w:color w:val="000000"/>
          <w:sz w:val="28"/>
        </w:rPr>
        <w:t>
      13. Ықтимал тәуекелге және проблеманың маңыздылығына, бұзушылықтың бір рет болуына немесе жүйелілігіне, бұрын әрбір ақпарат көзі бойынша қабылданған шешімдерді талдауға байланысты реттеуші мемлекеттік органның тәуекел дәрежесін бағалау өлшемшарттарына сәйкес өрескел, елеулі және елеусіз бұзушылық дәрежесіне сәйкес келетін – субъективті өлшемшарттар айқындалады.</w:t>
      </w:r>
    </w:p>
    <w:bookmarkEnd w:id="42"/>
    <w:p>
      <w:pPr>
        <w:spacing w:after="0"/>
        <w:ind w:left="0"/>
        <w:jc w:val="both"/>
      </w:pPr>
      <w:r>
        <w:rPr>
          <w:rFonts w:ascii="Times New Roman"/>
          <w:b w:val="false"/>
          <w:i w:val="false"/>
          <w:color w:val="000000"/>
          <w:sz w:val="28"/>
        </w:rPr>
        <w:t>
      Бұл ретте өрескел, елеулі және елеусіз бұзушылықтардың анықтамалары тиісті мемлекеттік бақылау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елеусіз) белгіленген өрескел, елеулі, елеусіз бұзушылықтар анықтамаларына сәйкес беріледі.</w:t>
      </w:r>
    </w:p>
    <w:bookmarkStart w:name="z45" w:id="43"/>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w:t>
      </w:r>
    </w:p>
    <w:bookmarkEnd w:id="43"/>
    <w:bookmarkStart w:name="z46" w:id="44"/>
    <w:p>
      <w:pPr>
        <w:spacing w:after="0"/>
        <w:ind w:left="0"/>
        <w:jc w:val="both"/>
      </w:pPr>
      <w:r>
        <w:rPr>
          <w:rFonts w:ascii="Times New Roman"/>
          <w:b w:val="false"/>
          <w:i w:val="false"/>
          <w:color w:val="000000"/>
          <w:sz w:val="28"/>
        </w:rPr>
        <w:t>
      14.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осы тарауға сәйкес субъективті өлшемшарттар бойынша тәуекел дәрежесінің жалпы көрсеткіші 0-ден 100-ге дейінгі шәкіл бойынша есептеледі.</w:t>
      </w:r>
    </w:p>
    <w:bookmarkEnd w:id="44"/>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субъектісі (объектісі): </w:t>
      </w:r>
    </w:p>
    <w:bookmarkStart w:name="z47" w:id="45"/>
    <w:p>
      <w:pPr>
        <w:spacing w:after="0"/>
        <w:ind w:left="0"/>
        <w:jc w:val="both"/>
      </w:pPr>
      <w:r>
        <w:rPr>
          <w:rFonts w:ascii="Times New Roman"/>
          <w:b w:val="false"/>
          <w:i w:val="false"/>
          <w:color w:val="000000"/>
          <w:sz w:val="28"/>
        </w:rPr>
        <w:t>
      1) тәуекел дәрежесінің көрсеткіші қоса алғанда 71-ден 100-ге дейін болған кезде – жоғары тәуекел дәрежесіне;</w:t>
      </w:r>
    </w:p>
    <w:bookmarkEnd w:id="45"/>
    <w:bookmarkStart w:name="z48" w:id="46"/>
    <w:p>
      <w:pPr>
        <w:spacing w:after="0"/>
        <w:ind w:left="0"/>
        <w:jc w:val="both"/>
      </w:pPr>
      <w:r>
        <w:rPr>
          <w:rFonts w:ascii="Times New Roman"/>
          <w:b w:val="false"/>
          <w:i w:val="false"/>
          <w:color w:val="000000"/>
          <w:sz w:val="28"/>
        </w:rPr>
        <w:t>
      2) тәуекел дәрежесінің көрсеткіші қоса алғанда 41-ден 70-ке дейін болған кезде – орташа тәуекел дәрежесіне;</w:t>
      </w:r>
    </w:p>
    <w:bookmarkEnd w:id="46"/>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(объектісіне) барып, талаптарға сәйкестігі тұрғысынан тексеру немесе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елеулі емес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талап етілетін елеулі бұзушылықтар саны;</w:t>
      </w:r>
    </w:p>
    <w:p>
      <w:pPr>
        <w:spacing w:after="0"/>
        <w:ind w:left="0"/>
        <w:jc w:val="both"/>
      </w:pPr>
      <w:r>
        <w:rPr>
          <w:rFonts w:ascii="Times New Roman"/>
          <w:b w:val="false"/>
          <w:i w:val="false"/>
          <w:color w:val="000000"/>
          <w:sz w:val="28"/>
        </w:rPr>
        <w:t xml:space="preserve">
      SР2 – анықталған елеулі бұзушылықтар саны; </w:t>
      </w:r>
    </w:p>
    <w:p>
      <w:pPr>
        <w:spacing w:after="0"/>
        <w:ind w:left="0"/>
        <w:jc w:val="both"/>
      </w:pPr>
      <w:r>
        <w:rPr>
          <w:rFonts w:ascii="Times New Roman"/>
          <w:b w:val="false"/>
          <w:i w:val="false"/>
          <w:color w:val="000000"/>
          <w:sz w:val="28"/>
        </w:rPr>
        <w:t>
      Елеулі емес бұзушылықтар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SРн – елеулі емес бұзушылықтар көрсеткіші;</w:t>
      </w:r>
    </w:p>
    <w:p>
      <w:pPr>
        <w:spacing w:after="0"/>
        <w:ind w:left="0"/>
        <w:jc w:val="both"/>
      </w:pPr>
      <w:r>
        <w:rPr>
          <w:rFonts w:ascii="Times New Roman"/>
          <w:b w:val="false"/>
          <w:i w:val="false"/>
          <w:color w:val="000000"/>
          <w:sz w:val="28"/>
        </w:rPr>
        <w:t>
      SР1 – талап етілетін елеулі емес бұзушылықтар саны;</w:t>
      </w:r>
    </w:p>
    <w:p>
      <w:pPr>
        <w:spacing w:after="0"/>
        <w:ind w:left="0"/>
        <w:jc w:val="both"/>
      </w:pPr>
      <w:r>
        <w:rPr>
          <w:rFonts w:ascii="Times New Roman"/>
          <w:b w:val="false"/>
          <w:i w:val="false"/>
          <w:color w:val="000000"/>
          <w:sz w:val="28"/>
        </w:rPr>
        <w:t>
      SР2 – анықталған елеулі емес бұзушылықтар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шәкіл бойынша есептеледі және мынадай формула бойынша елеулі және елеулі емес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елеулі емес бұзушылықтар көрсеткіші.</w:t>
      </w:r>
    </w:p>
    <w:p>
      <w:pPr>
        <w:spacing w:after="0"/>
        <w:ind w:left="0"/>
        <w:jc w:val="both"/>
      </w:pPr>
      <w:r>
        <w:rPr>
          <w:rFonts w:ascii="Times New Roman"/>
          <w:b w:val="false"/>
          <w:i w:val="false"/>
          <w:color w:val="000000"/>
          <w:sz w:val="28"/>
        </w:rPr>
        <w:t>
      Алынған жалпы көрсеткіш мәні кәсіпкерлік субъектісін осы тармақтың екінші бөлігіне сәйкес белгілі бір тәуекел дәрежесіне жатқызуға негіз болып табылады.</w:t>
      </w:r>
    </w:p>
    <w:bookmarkStart w:name="z49" w:id="47"/>
    <w:p>
      <w:pPr>
        <w:spacing w:after="0"/>
        <w:ind w:left="0"/>
        <w:jc w:val="left"/>
      </w:pPr>
      <w:r>
        <w:rPr>
          <w:rFonts w:ascii="Times New Roman"/>
          <w:b/>
          <w:i w:val="false"/>
          <w:color w:val="000000"/>
        </w:rPr>
        <w:t xml:space="preserve"> 4-тарау. Тексеру парақтары</w:t>
      </w:r>
    </w:p>
    <w:bookmarkEnd w:id="47"/>
    <w:bookmarkStart w:name="z50" w:id="48"/>
    <w:p>
      <w:pPr>
        <w:spacing w:after="0"/>
        <w:ind w:left="0"/>
        <w:jc w:val="both"/>
      </w:pPr>
      <w:r>
        <w:rPr>
          <w:rFonts w:ascii="Times New Roman"/>
          <w:b w:val="false"/>
          <w:i w:val="false"/>
          <w:color w:val="000000"/>
          <w:sz w:val="28"/>
        </w:rPr>
        <w:t xml:space="preserve">
      15. Тексеру парақтары бақылау субъектілерінің (объектілерінің) біртекті топтары үшін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143-бабында айқындалған шарттарды сақтай отырып жасалады.</w:t>
      </w:r>
    </w:p>
    <w:bookmarkEnd w:id="48"/>
    <w:bookmarkStart w:name="z51" w:id="49"/>
    <w:p>
      <w:pPr>
        <w:spacing w:after="0"/>
        <w:ind w:left="0"/>
        <w:jc w:val="both"/>
      </w:pPr>
      <w:r>
        <w:rPr>
          <w:rFonts w:ascii="Times New Roman"/>
          <w:b w:val="false"/>
          <w:i w:val="false"/>
          <w:color w:val="000000"/>
          <w:sz w:val="28"/>
        </w:rPr>
        <w:t xml:space="preserve">
      16. Тексеру парақтары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жарнама және жарнама қызметі</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53" w:id="50"/>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субъектісіне барып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таратуды пайдаланбау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туралы тыйымды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үйде (тұрғын ғимараттың)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өндірілуіне және сатылуына тыйым салынған тауарлардың (жұмыстарды, көрсетiлетiн қызметтердi) жарнамасын орналастыру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тіркелмеген бірлестіктер мен рухани (діни) білім беру ұйымдарының жарнамасына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интернет-казиноның жарнамасын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сатылатын тауардың (жұмыстың, көрсетілетін қызметтің) жарнамасында бағаны (тарифтерді, бағалауларды, мөлшерлемелерді) теңгемен көрсету талабының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 объектісін шартта белгіленген орналастыру мерзімі аяқталғаннан кейін бұзу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жарнама туралы заңнамасының сақталуына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жарнама туралы заңнамасының сақталуына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субъектілеріне (объектілеріне)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55" w:id="51"/>
    <w:p>
      <w:pPr>
        <w:spacing w:after="0"/>
        <w:ind w:left="0"/>
        <w:jc w:val="left"/>
      </w:pPr>
      <w:r>
        <w:rPr>
          <w:rFonts w:ascii="Times New Roman"/>
          <w:b/>
          <w:i w:val="false"/>
          <w:color w:val="000000"/>
        </w:rPr>
        <w:t xml:space="preserve"> Қазақстан Республикасының жарнама туралы заңнамасының сақталуына Тексеру парағы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Қазақстан Республикасы Кәсіпкерлік кодексінің 138-бабына сәйкес жарнама берушi, жарнама таратушы, жарнама жасаушы</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__________________________________ _____________________________ қатысты</w:t>
            </w:r>
          </w:p>
          <w:p>
            <w:pPr>
              <w:spacing w:after="20"/>
              <w:ind w:left="20"/>
              <w:jc w:val="both"/>
            </w:pPr>
            <w:r>
              <w:rPr>
                <w:rFonts w:ascii="Times New Roman"/>
                <w:b w:val="false"/>
                <w:i w:val="false"/>
                <w:color w:val="000000"/>
                <w:sz w:val="20"/>
              </w:rPr>
              <w:t>
субъектілердің (объектілердің) біртекті тобының атауы</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Бақылау субъектісіне (объектісіне) барып, тексеруді/профилактикалық бақылауды</w:t>
            </w:r>
          </w:p>
          <w:p>
            <w:pPr>
              <w:spacing w:after="20"/>
              <w:ind w:left="20"/>
              <w:jc w:val="both"/>
            </w:pPr>
            <w:r>
              <w:rPr>
                <w:rFonts w:ascii="Times New Roman"/>
                <w:b w:val="false"/>
                <w:i w:val="false"/>
                <w:color w:val="000000"/>
                <w:sz w:val="20"/>
              </w:rPr>
              <w:t>
тағайындаған мемлекеттік орган 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Бақылау субъектісіне (объектісіне) барып тексеруді/профилактикалық бақылауды тағайындау туралы акт  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 күні Бақылау субъектісінің (объектісінің) атауы ___________________________</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Бақылау субъектісінің (объектісінің) (жеке сәйкестендіру нөмірі), бизнес- сәйкестендіру нөмірі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Орналасқан жерінің мекенжайы 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Жарнамада конституциялық құрылысты күштеп өзгертуді, Қазақстан Республикасының тұтастығын бұзуды, мемлекет қауіпсіздігіне нұқсан келтіруді, соғысты, әлеуметтік, нәсілдік, ұлттық, діни, тектік-топтық және рулық басымдықты, қатыгездік пен зорлық-зомбылыққа табынуды, порнографияны насихаттауды немесе үгіттеуді пайдаланбау, сондай-ақ Қазақстан Республикасының мемлекеттік құпияларын құрайтын және заңмен қорғалатын өзге де мәліметтерді тарату жөніндегі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тарих және мәдениет ескерткіштерінде және олардың қорғау аймақтарында, ғибадат үйлерінде (құрылыстарында) және оларға бөлінген аумақта және олардың қоршауларында, сондай-ақ ерекше қорғалатын табиғи аумақтарда орналастыру туралы тыйымның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құжаттамада тұрғын үйлердің (тұрғын ғимараттардың) сыныптамасына сәйкес келмейтін салынып жатқан немесе пайдалануға берілген тұрғын үйдің (тұрғын ғимараттың) жарнамасын орналастыруға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өндіруге және өткізуге тыйым салынған тауарлардың (жұмыстардың, көрсетілетін қызметтердің) жарнамасын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тіркелмеген діни бірлестіктер мен рухани (діни) білім беру ұйымдарын жарнамалауға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 жарнамасына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сатылатын тауардың (жұмыстың, көрсетілетін қызметтің) жарнамасында талаптың болуы, бағаны (тарифтерді, бағаларды, мөлшерлемелерді)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объектісін шартта белгіленген орналастыру мерзімі өткеннен кейін оны бұзу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 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Бақылау субъектісінің (объектісінің) басшысы ________________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 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