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a698" w14:textId="a68a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16 қарашадағы № 633 бұйрығы. Қазақстан Республикасының Әділет министрлігінде 2022 жылғы 22 қарашада № 30653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Республикасының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3"/>
    <w:p>
      <w:pPr>
        <w:spacing w:after="0"/>
        <w:ind w:left="0"/>
        <w:jc w:val="both"/>
      </w:pPr>
      <w:r>
        <w:rPr>
          <w:rFonts w:ascii="Times New Roman"/>
          <w:b w:val="false"/>
          <w:i w:val="false"/>
          <w:color w:val="000000"/>
          <w:sz w:val="28"/>
        </w:rPr>
        <w:t>
      1) жауапкершілігі I (жоғары)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xml:space="preserve">
      осы Қағидаларда көрсетілмеген, "Азаматтық қорғау туралы"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w:t>
      </w:r>
      <w:r>
        <w:rPr>
          <w:rFonts w:ascii="Times New Roman"/>
          <w:b w:val="false"/>
          <w:i w:val="false"/>
          <w:color w:val="000000"/>
          <w:sz w:val="28"/>
        </w:rPr>
        <w:t>бұйрыққа</w:t>
      </w:r>
      <w:r>
        <w:rPr>
          <w:rFonts w:ascii="Times New Roman"/>
          <w:b w:val="false"/>
          <w:i w:val="false"/>
          <w:color w:val="000000"/>
          <w:sz w:val="28"/>
        </w:rPr>
        <w:t xml:space="preserve"> сәйкес солай деп сәйкестендірілетін қауіпті өндірістік объектілер;</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1 200-ден астам адам бара алатын сауда-ойын-сауық объектілері;</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p>
      <w:pPr>
        <w:spacing w:after="0"/>
        <w:ind w:left="0"/>
        <w:jc w:val="both"/>
      </w:pPr>
      <w:r>
        <w:rPr>
          <w:rFonts w:ascii="Times New Roman"/>
          <w:b w:val="false"/>
          <w:i w:val="false"/>
          <w:color w:val="000000"/>
          <w:sz w:val="28"/>
        </w:rPr>
        <w:t>
      сыйымдылығы кемінде 1 500 оқушыдан астам (қоса алғанда)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жобалау құжаттамасында мынадай сипаттамалардың кем дегенде біреуі көзделген конструктивтік шешімдері және (немесе) конструкциялары бар бірегей құрылыс объектілері:</w:t>
      </w:r>
    </w:p>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p>
      <w:pPr>
        <w:spacing w:after="0"/>
        <w:ind w:left="0"/>
        <w:jc w:val="both"/>
      </w:pPr>
      <w:r>
        <w:rPr>
          <w:rFonts w:ascii="Times New Roman"/>
          <w:b w:val="false"/>
          <w:i w:val="false"/>
          <w:color w:val="000000"/>
          <w:sz w:val="28"/>
        </w:rPr>
        <w:t>
      өндіріс объектілерін қоспағанда аралығы 50 м (метр) астам;</w:t>
      </w:r>
    </w:p>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p>
      <w:pPr>
        <w:spacing w:after="0"/>
        <w:ind w:left="0"/>
        <w:jc w:val="both"/>
      </w:pPr>
      <w:r>
        <w:rPr>
          <w:rFonts w:ascii="Times New Roman"/>
          <w:b w:val="false"/>
          <w:i w:val="false"/>
          <w:color w:val="000000"/>
          <w:sz w:val="28"/>
        </w:rPr>
        <w:t>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астам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(тәулігіне текше метр) және одан астам сорғы станциялары мен су тарту құрылыстары;</w:t>
      </w:r>
    </w:p>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санатты автомобиль жолдары және олардағы құрылыстар;</w:t>
      </w:r>
    </w:p>
    <w:p>
      <w:pPr>
        <w:spacing w:after="0"/>
        <w:ind w:left="0"/>
        <w:jc w:val="both"/>
      </w:pPr>
      <w:r>
        <w:rPr>
          <w:rFonts w:ascii="Times New Roman"/>
          <w:b w:val="false"/>
          <w:i w:val="false"/>
          <w:color w:val="000000"/>
          <w:sz w:val="28"/>
        </w:rPr>
        <w:t>
      шекара бөлімшелері;</w:t>
      </w:r>
    </w:p>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p>
      <w:pPr>
        <w:spacing w:after="0"/>
        <w:ind w:left="0"/>
        <w:jc w:val="both"/>
      </w:pPr>
      <w:r>
        <w:rPr>
          <w:rFonts w:ascii="Times New Roman"/>
          <w:b w:val="false"/>
          <w:i w:val="false"/>
          <w:color w:val="000000"/>
          <w:sz w:val="28"/>
        </w:rPr>
        <w:t>
      теміржол және автомобиль жолдары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сәулет, қала құрылысы және құрылыс қызметі саласындағы уәкілетті орган әзірлейтін үлгілік жобалар (жобалау);</w:t>
      </w:r>
    </w:p>
    <w:p>
      <w:pPr>
        <w:spacing w:after="0"/>
        <w:ind w:left="0"/>
        <w:jc w:val="both"/>
      </w:pPr>
      <w:r>
        <w:rPr>
          <w:rFonts w:ascii="Times New Roman"/>
          <w:b w:val="false"/>
          <w:i w:val="false"/>
          <w:color w:val="000000"/>
          <w:sz w:val="28"/>
        </w:rPr>
        <w:t>
      2)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мал қорымдары (биотермиялық шұңқырлар), сондай-ақ күйдіргіден өлген жануарлардың өлекселерін көму;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сыйымдылығы 600 оқушыдан (қоса алғанда) 1 500 оқушыға дейінгі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вахталық кенттердің 3 жерүсті қабатынан асатын (қоса алғанда)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 өнімділігі тәуілігіне 500 м</w:t>
      </w:r>
      <w:r>
        <w:rPr>
          <w:rFonts w:ascii="Times New Roman"/>
          <w:b w:val="false"/>
          <w:i w:val="false"/>
          <w:color w:val="000000"/>
          <w:vertAlign w:val="superscript"/>
        </w:rPr>
        <w:t>3</w:t>
      </w:r>
      <w:r>
        <w:rPr>
          <w:rFonts w:ascii="Times New Roman"/>
          <w:b w:val="false"/>
          <w:i w:val="false"/>
          <w:color w:val="000000"/>
          <w:sz w:val="28"/>
        </w:rPr>
        <w:t xml:space="preserve"> (текше метрден) 10 000 м</w:t>
      </w:r>
      <w:r>
        <w:rPr>
          <w:rFonts w:ascii="Times New Roman"/>
          <w:b w:val="false"/>
          <w:i w:val="false"/>
          <w:color w:val="000000"/>
          <w:vertAlign w:val="superscript"/>
        </w:rPr>
        <w:t>3</w:t>
      </w:r>
      <w:r>
        <w:rPr>
          <w:rFonts w:ascii="Times New Roman"/>
          <w:b w:val="false"/>
          <w:i w:val="false"/>
          <w:color w:val="000000"/>
          <w:sz w:val="28"/>
        </w:rPr>
        <w:t xml:space="preserve"> (текше метрге) дейін (тәуілігіне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800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w:t>
      </w:r>
    </w:p>
    <w:p>
      <w:pPr>
        <w:spacing w:after="0"/>
        <w:ind w:left="0"/>
        <w:jc w:val="both"/>
      </w:pPr>
      <w:r>
        <w:rPr>
          <w:rFonts w:ascii="Times New Roman"/>
          <w:b w:val="false"/>
          <w:i w:val="false"/>
          <w:color w:val="000000"/>
          <w:sz w:val="28"/>
        </w:rPr>
        <w:t>
      биіктігі 45 м (метрден) бастап 100 м (метрге) дейінгі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автомобильдік өткізу пункттері;</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жекелеген жобалар бойынша іске асырылатын магистральдық теміржол желілерінің объектілері, сондай-ақ кіреберіс және станциялық жолдар;</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асатын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p>
      <w:pPr>
        <w:spacing w:after="0"/>
        <w:ind w:left="0"/>
        <w:jc w:val="both"/>
      </w:pPr>
      <w:r>
        <w:rPr>
          <w:rFonts w:ascii="Times New Roman"/>
          <w:b w:val="false"/>
          <w:i w:val="false"/>
          <w:color w:val="000000"/>
          <w:sz w:val="28"/>
        </w:rPr>
        <w:t>
      сыйымдылығы 600 оқушыдан кем емес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вахталық кенттердің 3 жерүсті қабатынан аспайтын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жалпы ауданы 20 шаршы метрден асатын дара кәсіпкерлік объектілерін орналастыру үшін жеке тұрған бір қабатты ғимараттар (құрылысжайлар) салуды;</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шаруашылық-тұрмыстық және техникалық сумен жабдықтау үшін су жинау ұңғымаларын мен құрылыстарын жайластыру;</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биіктігі 45 м (метр) (қоса алғанда) дейінгі антенналық-мачталық байланыс құрылыстары;</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асатын электрмен жабдықтау желілерін салуды;</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4) жауапкершілігі III (төмендетілген) деңгейдегі объектілер:</w:t>
      </w:r>
    </w:p>
    <w:p>
      <w:pPr>
        <w:spacing w:after="0"/>
        <w:ind w:left="0"/>
        <w:jc w:val="both"/>
      </w:pPr>
      <w:r>
        <w:rPr>
          <w:rFonts w:ascii="Times New Roman"/>
          <w:b w:val="false"/>
          <w:i w:val="false"/>
          <w:color w:val="000000"/>
          <w:sz w:val="28"/>
        </w:rPr>
        <w:t>
      екі қабаттан жоғары емес жеке тұрғын үйлер;</w:t>
      </w:r>
    </w:p>
    <w:p>
      <w:pPr>
        <w:spacing w:after="0"/>
        <w:ind w:left="0"/>
        <w:jc w:val="both"/>
      </w:pPr>
      <w:r>
        <w:rPr>
          <w:rFonts w:ascii="Times New Roman"/>
          <w:b w:val="false"/>
          <w:i w:val="false"/>
          <w:color w:val="000000"/>
          <w:sz w:val="28"/>
        </w:rPr>
        <w:t>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w:t>
      </w:r>
    </w:p>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жұмыс істеп тұрған инженерлік желілерді өзгертуді талап етпейтін үй жанындағы учаскелерде және саяжай учаскелерінде абаттандыру;</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аспайтын (қоса алғанда)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тіректерін, қоршаулар және осыған ұқсас құрылысжайлар;</w:t>
      </w:r>
    </w:p>
    <w:p>
      <w:pPr>
        <w:spacing w:after="0"/>
        <w:ind w:left="0"/>
        <w:jc w:val="both"/>
      </w:pPr>
      <w:r>
        <w:rPr>
          <w:rFonts w:ascii="Times New Roman"/>
          <w:b w:val="false"/>
          <w:i w:val="false"/>
          <w:color w:val="000000"/>
          <w:sz w:val="28"/>
        </w:rPr>
        <w:t>
      маусымдық жұмыстар мен шалғайдағы мал шаруашылығы үшін тұрғын және (немесе) шаруашылық-тұрмыстық үй-жайлардың уақытша құрылыстары;</w:t>
      </w:r>
    </w:p>
    <w:p>
      <w:pPr>
        <w:spacing w:after="0"/>
        <w:ind w:left="0"/>
        <w:jc w:val="both"/>
      </w:pPr>
      <w:r>
        <w:rPr>
          <w:rFonts w:ascii="Times New Roman"/>
          <w:b w:val="false"/>
          <w:i w:val="false"/>
          <w:color w:val="000000"/>
          <w:sz w:val="28"/>
        </w:rPr>
        <w:t>
      автомашиналар саны елу бірліктен аспайтын ашық үлгідегі автотұрақтар, сондай-ақ екі автомашинадан аспайтын бокстары бар гараждар;</w:t>
      </w:r>
    </w:p>
    <w:p>
      <w:pPr>
        <w:spacing w:after="0"/>
        <w:ind w:left="0"/>
        <w:jc w:val="both"/>
      </w:pPr>
      <w:r>
        <w:rPr>
          <w:rFonts w:ascii="Times New Roman"/>
          <w:b w:val="false"/>
          <w:i w:val="false"/>
          <w:color w:val="000000"/>
          <w:sz w:val="28"/>
        </w:rPr>
        <w:t>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w:t>
      </w:r>
    </w:p>
    <w:p>
      <w:pPr>
        <w:spacing w:after="0"/>
        <w:ind w:left="0"/>
        <w:jc w:val="both"/>
      </w:pPr>
      <w:r>
        <w:rPr>
          <w:rFonts w:ascii="Times New Roman"/>
          <w:b w:val="false"/>
          <w:i w:val="false"/>
          <w:color w:val="000000"/>
          <w:sz w:val="28"/>
        </w:rPr>
        <w:t>
      шағын сәулет нысандары және аумақты қоршау;</w:t>
      </w:r>
    </w:p>
    <w:p>
      <w:pPr>
        <w:spacing w:after="0"/>
        <w:ind w:left="0"/>
        <w:jc w:val="both"/>
      </w:pPr>
      <w:r>
        <w:rPr>
          <w:rFonts w:ascii="Times New Roman"/>
          <w:b w:val="false"/>
          <w:i w:val="false"/>
          <w:color w:val="000000"/>
          <w:sz w:val="28"/>
        </w:rPr>
        <w:t>
      ашық спорт алаңдары, тротуарлар, ғимараттар (құрылысжайлар) маңында тас төсеніштер төсеу;</w:t>
      </w:r>
    </w:p>
    <w:p>
      <w:pPr>
        <w:spacing w:after="0"/>
        <w:ind w:left="0"/>
        <w:jc w:val="both"/>
      </w:pPr>
      <w:r>
        <w:rPr>
          <w:rFonts w:ascii="Times New Roman"/>
          <w:b w:val="false"/>
          <w:i w:val="false"/>
          <w:color w:val="000000"/>
          <w:sz w:val="28"/>
        </w:rPr>
        <w:t>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 және ауыстыру;</w:t>
      </w:r>
    </w:p>
    <w:p>
      <w:pPr>
        <w:spacing w:after="0"/>
        <w:ind w:left="0"/>
        <w:jc w:val="both"/>
      </w:pPr>
      <w:r>
        <w:rPr>
          <w:rFonts w:ascii="Times New Roman"/>
          <w:b w:val="false"/>
          <w:i w:val="false"/>
          <w:color w:val="000000"/>
          <w:sz w:val="28"/>
        </w:rPr>
        <w:t>
      инженерлік желілерді электр коррозиясынан қорғау;</w:t>
      </w:r>
    </w:p>
    <w:p>
      <w:pPr>
        <w:spacing w:after="0"/>
        <w:ind w:left="0"/>
        <w:jc w:val="both"/>
      </w:pPr>
      <w:r>
        <w:rPr>
          <w:rFonts w:ascii="Times New Roman"/>
          <w:b w:val="false"/>
          <w:i w:val="false"/>
          <w:color w:val="000000"/>
          <w:sz w:val="28"/>
        </w:rPr>
        <w:t>
      жалпы ауданы 20 шаршы метрге дейінгі дара кәсіпкерлік объектілерін орналастыру үшін жеке тұрған бір қабатты ғимараттар (құрылысжайлар);</w:t>
      </w:r>
    </w:p>
    <w:p>
      <w:pPr>
        <w:spacing w:after="0"/>
        <w:ind w:left="0"/>
        <w:jc w:val="both"/>
      </w:pPr>
      <w:r>
        <w:rPr>
          <w:rFonts w:ascii="Times New Roman"/>
          <w:b w:val="false"/>
          <w:i w:val="false"/>
          <w:color w:val="000000"/>
          <w:sz w:val="28"/>
        </w:rPr>
        <w:t>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реконструкциялау (қайта жоспарлау, қайта жабдықтау);</w:t>
      </w:r>
    </w:p>
    <w:p>
      <w:pPr>
        <w:spacing w:after="0"/>
        <w:ind w:left="0"/>
        <w:jc w:val="both"/>
      </w:pPr>
      <w:r>
        <w:rPr>
          <w:rFonts w:ascii="Times New Roman"/>
          <w:b w:val="false"/>
          <w:i w:val="false"/>
          <w:color w:val="000000"/>
          <w:sz w:val="28"/>
        </w:rPr>
        <w:t>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дейінгі электрмен жабдықтау желілері;</w:t>
      </w:r>
    </w:p>
    <w:p>
      <w:pPr>
        <w:spacing w:after="0"/>
        <w:ind w:left="0"/>
        <w:jc w:val="both"/>
      </w:pPr>
      <w:r>
        <w:rPr>
          <w:rFonts w:ascii="Times New Roman"/>
          <w:b w:val="false"/>
          <w:i w:val="false"/>
          <w:color w:val="000000"/>
          <w:sz w:val="28"/>
        </w:rPr>
        <w:t>
      әкімшілік-тұрмыстық және өндірістік ғимараттардың ішінде автоматты күзет-өрт дабылы жүйесі;</w:t>
      </w:r>
    </w:p>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p>
      <w:pPr>
        <w:spacing w:after="0"/>
        <w:ind w:left="0"/>
        <w:jc w:val="both"/>
      </w:pPr>
      <w:r>
        <w:rPr>
          <w:rFonts w:ascii="Times New Roman"/>
          <w:b w:val="false"/>
          <w:i w:val="false"/>
          <w:color w:val="000000"/>
          <w:sz w:val="28"/>
        </w:rPr>
        <w:t>
      жеке тұрғын үйлердің алаңішілік желілері және тұрмыстық мақсаттағы үйішілік газбен жабдықтау жүйелерін монтаждау.".</w:t>
      </w:r>
    </w:p>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вице-миниcтріне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