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226e" w14:textId="70f2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және тауарларды, жұмыстарды, көрсетілетін қызметтерді сатып алуды жүзеге асыру кезінде тауарлардың, жұмыстардың, көрсетілетін қызметтердің энергия тиімділігі бойынша талаптарды белгілеу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11 қарашадағы № 627 бұйрығы. Қазақстан Республикасының Әділет министрлігінде 2022 жылғы 14 қарашада № 30527 болып тіркелді</w:t>
      </w:r>
    </w:p>
    <w:p>
      <w:pPr>
        <w:spacing w:after="0"/>
        <w:ind w:left="0"/>
        <w:jc w:val="both"/>
      </w:pPr>
      <w:bookmarkStart w:name="z1" w:id="0"/>
      <w:r>
        <w:rPr>
          <w:rFonts w:ascii="Times New Roman"/>
          <w:b w:val="false"/>
          <w:i w:val="false"/>
          <w:color w:val="000000"/>
          <w:sz w:val="28"/>
        </w:rPr>
        <w:t xml:space="preserve">
      "Энергия үнемдеу және энергия тиімділігін арттыру туралы" Қазақстан Республикасының Заңы 5-бабының </w:t>
      </w:r>
      <w:r>
        <w:rPr>
          <w:rFonts w:ascii="Times New Roman"/>
          <w:b w:val="false"/>
          <w:i w:val="false"/>
          <w:color w:val="000000"/>
          <w:sz w:val="28"/>
        </w:rPr>
        <w:t>16-4)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Мемлекеттік сатып алуды және тауарларды, жұмыстарды, көрсетілетін қызметтерді сатып алуды жүзеге асыру кезінде тауарлардың, жұмыстардың, көрсетілетін қызметтердің энергия тиімділігі бойынша </w:t>
      </w:r>
      <w:r>
        <w:rPr>
          <w:rFonts w:ascii="Times New Roman"/>
          <w:b w:val="false"/>
          <w:i w:val="false"/>
          <w:color w:val="000000"/>
          <w:sz w:val="28"/>
        </w:rPr>
        <w:t>талаптар</w:t>
      </w:r>
      <w:r>
        <w:rPr>
          <w:rFonts w:ascii="Times New Roman"/>
          <w:b w:val="false"/>
          <w:i w:val="false"/>
          <w:color w:val="000000"/>
          <w:sz w:val="28"/>
        </w:rPr>
        <w:t xml:space="preserve"> белгіленсін.</w:t>
      </w:r>
    </w:p>
    <w:bookmarkStart w:name="z3"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w:t>
            </w:r>
          </w:p>
          <w:p>
            <w:pPr>
              <w:spacing w:after="20"/>
              <w:ind w:left="20"/>
              <w:jc w:val="both"/>
            </w:pPr>
            <w:r>
              <w:rPr>
                <w:rFonts w:ascii="Times New Roman"/>
                <w:b w:val="false"/>
                <w:i/>
                <w:color w:val="000000"/>
                <w:sz w:val="20"/>
              </w:rPr>
              <w:t>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11 қарашадағы</w:t>
            </w:r>
            <w:r>
              <w:br/>
            </w:r>
            <w:r>
              <w:rPr>
                <w:rFonts w:ascii="Times New Roman"/>
                <w:b w:val="false"/>
                <w:i w:val="false"/>
                <w:color w:val="000000"/>
                <w:sz w:val="20"/>
              </w:rPr>
              <w:t>№ 627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Мемлекеттік сатып алуды және тауарларды, жұмыстарды, көрсетілетін қызметтерді сатып алуды жүзеге асыру кезінде тауарлардың, жұмыстардың, көрсетілетін қызметтердің энергия тиімділігі бойынша талаптар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мақсаттарда (өндірісте, сауда және қызмет көрсету саласында) қолданылуы мүмкін тұрмыстық мақсаттағы тоңазытқыш аспаптары (тоңазытқыштар, мұздатқыштар және олардың комбинациялары) номиналды кернеуі 250 В (қоса алғанда) дейінгі айнымалы ток желісінен қоректенеді және салқындатылған және (немесе) мұздатылған тамақ және (немесе) өзге де пайдалы көлемі бар 1500 л-ден аспайтын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мақсаттағы тоңазытқыш құралдарының энергетикалық тиімділік класы А+ төмен болмауы тиіс, бұл EEI&lt;42 энергетикалық тиімділік индексіне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қаңтардан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жарықтандыру үшін қолданылатын жарықдиодты жарық көздері үшін кем дегенде 120 люмен/Ватт деңгейінде жарық беру талаптары белгіленеді.</w:t>
            </w:r>
          </w:p>
          <w:p>
            <w:pPr>
              <w:spacing w:after="20"/>
              <w:ind w:left="20"/>
              <w:jc w:val="both"/>
            </w:pPr>
            <w:r>
              <w:rPr>
                <w:rFonts w:ascii="Times New Roman"/>
                <w:b w:val="false"/>
                <w:i w:val="false"/>
                <w:color w:val="000000"/>
                <w:sz w:val="20"/>
              </w:rPr>
              <w:t>
Ішкі жарықтандыру үшін қолданылатын T5 люминесцентті шамдар үшін кемінде 80 люмен/Ватт деңгейінде жарық беру бойынша талаптар белгіленеді.</w:t>
            </w:r>
          </w:p>
          <w:p>
            <w:pPr>
              <w:spacing w:after="20"/>
              <w:ind w:left="20"/>
              <w:jc w:val="both"/>
            </w:pPr>
            <w:r>
              <w:rPr>
                <w:rFonts w:ascii="Times New Roman"/>
                <w:b w:val="false"/>
                <w:i w:val="false"/>
                <w:color w:val="000000"/>
                <w:sz w:val="20"/>
              </w:rPr>
              <w:t>
Ішкі жарықтандыру үшін қолданылатын T8 люминесцентті лампалары үшін кем дегенде 85 люмен/Ватт деңгейінде жарық беру талаптары белгіленеді.</w:t>
            </w:r>
          </w:p>
          <w:p>
            <w:pPr>
              <w:spacing w:after="20"/>
              <w:ind w:left="20"/>
              <w:jc w:val="both"/>
            </w:pPr>
            <w:r>
              <w:rPr>
                <w:rFonts w:ascii="Times New Roman"/>
                <w:b w:val="false"/>
                <w:i w:val="false"/>
                <w:color w:val="000000"/>
                <w:sz w:val="20"/>
              </w:rPr>
              <w:t>
Ішкі жарықтандыру үшін қолданылатын T9 (дөңгелек) люминесцентті шамдар үшін кемінде 70 люмен/Ватт деңгейінде жарық беру бойынша талаптар белгіленеді.</w:t>
            </w:r>
          </w:p>
          <w:p>
            <w:pPr>
              <w:spacing w:after="20"/>
              <w:ind w:left="20"/>
              <w:jc w:val="both"/>
            </w:pPr>
            <w:r>
              <w:rPr>
                <w:rFonts w:ascii="Times New Roman"/>
                <w:b w:val="false"/>
                <w:i w:val="false"/>
                <w:color w:val="000000"/>
                <w:sz w:val="20"/>
              </w:rPr>
              <w:t>
Ішкі жарықтандыру үшін қолданылатын индукциялық шамдар үшін кемінде 70 люмен/Ватт деңгейінде жарық беру жөніндегі талаптар белгіленеді.</w:t>
            </w:r>
          </w:p>
          <w:p>
            <w:pPr>
              <w:spacing w:after="20"/>
              <w:ind w:left="20"/>
              <w:jc w:val="both"/>
            </w:pPr>
            <w:r>
              <w:rPr>
                <w:rFonts w:ascii="Times New Roman"/>
                <w:b w:val="false"/>
                <w:i w:val="false"/>
                <w:color w:val="000000"/>
                <w:sz w:val="20"/>
              </w:rPr>
              <w:t>
Ішкі жарықтандыру үшін қолданылатын ықшам люминесцентті шамдар (КЛЛ) үшін 70 люмен/Ватттан кем емес деңгейде жарық беру бойынша талаптар белгіленеді.</w:t>
            </w:r>
          </w:p>
          <w:p>
            <w:pPr>
              <w:spacing w:after="20"/>
              <w:ind w:left="20"/>
              <w:jc w:val="both"/>
            </w:pPr>
            <w:r>
              <w:rPr>
                <w:rFonts w:ascii="Times New Roman"/>
                <w:b w:val="false"/>
                <w:i w:val="false"/>
                <w:color w:val="000000"/>
                <w:sz w:val="20"/>
              </w:rPr>
              <w:t>
Жоғары қысымды натрий шамдары үшін 80 люмен/Ватттан кем емес деңгейде жарық беру бойынша талаптар белгіленеді.</w:t>
            </w:r>
          </w:p>
          <w:p>
            <w:pPr>
              <w:spacing w:after="20"/>
              <w:ind w:left="20"/>
              <w:jc w:val="both"/>
            </w:pPr>
            <w:r>
              <w:rPr>
                <w:rFonts w:ascii="Times New Roman"/>
                <w:b w:val="false"/>
                <w:i w:val="false"/>
                <w:color w:val="000000"/>
                <w:sz w:val="20"/>
              </w:rPr>
              <w:t>
Металл галогенді шамдар үшін кемінде 80 люмен/Ватт деңгейінде жарық беру бойынша талаптар белгіленеді.</w:t>
            </w:r>
          </w:p>
          <w:p>
            <w:pPr>
              <w:spacing w:after="20"/>
              <w:ind w:left="20"/>
              <w:jc w:val="both"/>
            </w:pPr>
            <w:r>
              <w:rPr>
                <w:rFonts w:ascii="Times New Roman"/>
                <w:b w:val="false"/>
                <w:i w:val="false"/>
                <w:color w:val="000000"/>
                <w:sz w:val="20"/>
              </w:rPr>
              <w:t>
Керамикалық металл галогенді шамдар үшін жарық беру бойынша талаптар кемінде 85 люмен/Ватт деңгейінде белгіленеді.</w:t>
            </w:r>
          </w:p>
          <w:p>
            <w:pPr>
              <w:spacing w:after="20"/>
              <w:ind w:left="20"/>
              <w:jc w:val="both"/>
            </w:pPr>
            <w:r>
              <w:rPr>
                <w:rFonts w:ascii="Times New Roman"/>
                <w:b w:val="false"/>
                <w:i w:val="false"/>
                <w:color w:val="000000"/>
                <w:sz w:val="20"/>
              </w:rPr>
              <w:t>
Кварцты металл галогенді шамдар үшін кемінде 80 люмен/Ватт деңгейінде жарық беру бойынша талаптар белгіленеді.</w:t>
            </w:r>
          </w:p>
          <w:p>
            <w:pPr>
              <w:spacing w:after="20"/>
              <w:ind w:left="20"/>
              <w:jc w:val="both"/>
            </w:pPr>
            <w:r>
              <w:rPr>
                <w:rFonts w:ascii="Times New Roman"/>
                <w:b w:val="false"/>
                <w:i w:val="false"/>
                <w:color w:val="000000"/>
                <w:sz w:val="20"/>
              </w:rPr>
              <w:t>
Органикалық жарық диодты шамдар (LED) үшін жарық беру бойынша талаптар кемінде 65 люмен/Ватт деңгейінде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қаңтардан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кернеуі 250 В (қоса алғанда) дейінгі электр желісінен қоректенетін және тұрғын және кеңсе үй-жайларында пайдалануға арналған Теледидарлар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Теледидарларда энергия тиімділігі класы А-дан төмен болмауы керек, бұл EEI&lt;0.30 энергия тиімділігі индексіне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қаңтардан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мақсаттарда (өндірісте, саудада және қызмет көрсету саласында) қолданылуы мүмкін, номиналды кернеуі 250 В (қоса алғанда) дейінгі айнымалы ток желісінен қоректенетін тұрмыстық автоматты кір жуғыш машиналар, желіден қоректендірумен қатар электр батареяларынан (аккумуляторлардан) жұмыс істей алатын кір жуғыш машиналар, сондай-ақ орнатылатын кір жуғыш машиналар құрама кір жуу-кептіру машиналарын қоспағанда,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автоматты кір жуғыш машиналарда энергия тиімділігі класы a+ - тен төмен болмауы керек, бұл EEI&lt;0,59 энергия тиімділігі индексіне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қаңтардан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кернеуі 230 В дейінгі айнымалы ток желісінен қоректенетін, оның ішінде тұрмыстық емес мақсаттарда қолданылатын, сондай-ақ электр батареяларынан (аккумуляторлардан) жұмыс істеуге қабілетті және кіріктірілген тұрмыстық ыдыс жуатын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ыдыс жуғыш машиналарда энергия тиімділігі класы a++ - тен төмен болмауы керек, бұл EEI&lt;0,56 энергия тиімділігі индексіне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қаңтардан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айнымалы ток желісінен, оның ішінде айнымалы ток желісінен қуат алуға арналған компьютерлер мен серверлер</w:t>
            </w:r>
          </w:p>
          <w:p>
            <w:pPr>
              <w:spacing w:after="20"/>
              <w:ind w:left="20"/>
              <w:jc w:val="both"/>
            </w:pPr>
            <w:r>
              <w:rPr>
                <w:rFonts w:ascii="Times New Roman"/>
                <w:b w:val="false"/>
                <w:i w:val="false"/>
                <w:color w:val="000000"/>
                <w:sz w:val="20"/>
              </w:rPr>
              <w:t>
сыртқы немесе ішкі қуат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серверлерге келесі талаптар қойылуы керек:</w:t>
            </w:r>
          </w:p>
          <w:p>
            <w:pPr>
              <w:spacing w:after="20"/>
              <w:ind w:left="20"/>
              <w:jc w:val="both"/>
            </w:pPr>
            <w:r>
              <w:rPr>
                <w:rFonts w:ascii="Times New Roman"/>
                <w:b w:val="false"/>
                <w:i w:val="false"/>
                <w:color w:val="000000"/>
                <w:sz w:val="20"/>
              </w:rPr>
              <w:t>
Үстел компьютері мен моноблокты үстел компьютерінің (SATEC) (кВт*сағ/жыл) электр энергиясын жылдық тұтынуы аспауы тиіс:</w:t>
            </w:r>
          </w:p>
          <w:p>
            <w:pPr>
              <w:spacing w:after="20"/>
              <w:ind w:left="20"/>
              <w:jc w:val="both"/>
            </w:pPr>
            <w:r>
              <w:rPr>
                <w:rFonts w:ascii="Times New Roman"/>
                <w:b w:val="false"/>
                <w:i w:val="false"/>
                <w:color w:val="000000"/>
                <w:sz w:val="20"/>
              </w:rPr>
              <w:t>
А санаты үшін-94,00;</w:t>
            </w:r>
          </w:p>
          <w:p>
            <w:pPr>
              <w:spacing w:after="20"/>
              <w:ind w:left="20"/>
              <w:jc w:val="both"/>
            </w:pPr>
            <w:r>
              <w:rPr>
                <w:rFonts w:ascii="Times New Roman"/>
                <w:b w:val="false"/>
                <w:i w:val="false"/>
                <w:color w:val="000000"/>
                <w:sz w:val="20"/>
              </w:rPr>
              <w:t>
В санаты үшін-112,00;</w:t>
            </w:r>
          </w:p>
          <w:p>
            <w:pPr>
              <w:spacing w:after="20"/>
              <w:ind w:left="20"/>
              <w:jc w:val="both"/>
            </w:pPr>
            <w:r>
              <w:rPr>
                <w:rFonts w:ascii="Times New Roman"/>
                <w:b w:val="false"/>
                <w:i w:val="false"/>
                <w:color w:val="000000"/>
                <w:sz w:val="20"/>
              </w:rPr>
              <w:t>
С - 134,00 санаты үшін;</w:t>
            </w:r>
          </w:p>
          <w:p>
            <w:pPr>
              <w:spacing w:after="20"/>
              <w:ind w:left="20"/>
              <w:jc w:val="both"/>
            </w:pPr>
            <w:r>
              <w:rPr>
                <w:rFonts w:ascii="Times New Roman"/>
                <w:b w:val="false"/>
                <w:i w:val="false"/>
                <w:color w:val="000000"/>
                <w:sz w:val="20"/>
              </w:rPr>
              <w:t>
D санаты үшін - 150,00.</w:t>
            </w:r>
          </w:p>
          <w:p>
            <w:pPr>
              <w:spacing w:after="20"/>
              <w:ind w:left="20"/>
              <w:jc w:val="both"/>
            </w:pPr>
            <w:r>
              <w:rPr>
                <w:rFonts w:ascii="Times New Roman"/>
                <w:b w:val="false"/>
                <w:i w:val="false"/>
                <w:color w:val="000000"/>
                <w:sz w:val="20"/>
              </w:rPr>
              <w:t>
Ноутбуктің электр энергиясын жылдық тұтыну (E TEC) (кВт*сағ/жыл) аспауы тиіс:</w:t>
            </w:r>
          </w:p>
          <w:p>
            <w:pPr>
              <w:spacing w:after="20"/>
              <w:ind w:left="20"/>
              <w:jc w:val="both"/>
            </w:pPr>
            <w:r>
              <w:rPr>
                <w:rFonts w:ascii="Times New Roman"/>
                <w:b w:val="false"/>
                <w:i w:val="false"/>
                <w:color w:val="000000"/>
                <w:sz w:val="20"/>
              </w:rPr>
              <w:t>
А санаты үшін - 27,00;</w:t>
            </w:r>
          </w:p>
          <w:p>
            <w:pPr>
              <w:spacing w:after="20"/>
              <w:ind w:left="20"/>
              <w:jc w:val="both"/>
            </w:pPr>
            <w:r>
              <w:rPr>
                <w:rFonts w:ascii="Times New Roman"/>
                <w:b w:val="false"/>
                <w:i w:val="false"/>
                <w:color w:val="000000"/>
                <w:sz w:val="20"/>
              </w:rPr>
              <w:t>
В санаты үшін - 36,00;</w:t>
            </w:r>
          </w:p>
          <w:p>
            <w:pPr>
              <w:spacing w:after="20"/>
              <w:ind w:left="20"/>
              <w:jc w:val="both"/>
            </w:pPr>
            <w:r>
              <w:rPr>
                <w:rFonts w:ascii="Times New Roman"/>
                <w:b w:val="false"/>
                <w:i w:val="false"/>
                <w:color w:val="000000"/>
                <w:sz w:val="20"/>
              </w:rPr>
              <w:t>
С санаты үшін - 60,50.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қаңтардан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циркуляциялық сорғылар автономды және интеграцияланған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Циркуляциялық сорғылардың энергетикалық тиімділік индексі 0,23 (EEI&lt;0,23)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1 қаңтардан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125 Вт-тан (қоса алғанда) 500 кВт-қа дейін (қоса алғанда) және қоректендіру кернеуі 1000 В-қа дейін (қоса алғанда) және тұрақты тогы 1500 В-қа дейін (қоса алғанда) электр жетегі бар желдеткіштер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Желдеткіштердің тиімділік деңгейі (N):</w:t>
            </w:r>
          </w:p>
          <w:p>
            <w:pPr>
              <w:spacing w:after="20"/>
              <w:ind w:left="20"/>
              <w:jc w:val="both"/>
            </w:pPr>
            <w:r>
              <w:rPr>
                <w:rFonts w:ascii="Times New Roman"/>
                <w:b w:val="false"/>
                <w:i w:val="false"/>
                <w:color w:val="000000"/>
                <w:sz w:val="20"/>
              </w:rPr>
              <w:t>
осьтік желдеткіш, өлшем санаты A, C-40; өлшем санаты B, D – 58;</w:t>
            </w:r>
          </w:p>
          <w:p>
            <w:pPr>
              <w:spacing w:after="20"/>
              <w:ind w:left="20"/>
              <w:jc w:val="both"/>
            </w:pPr>
            <w:r>
              <w:rPr>
                <w:rFonts w:ascii="Times New Roman"/>
                <w:b w:val="false"/>
                <w:i w:val="false"/>
                <w:color w:val="000000"/>
                <w:sz w:val="20"/>
              </w:rPr>
              <w:t>
алға қарай иілген қалақтары бар радиалды желдеткіш және тік радиалды қалақтары бар радиалды желдеткіш, өлшеу санаты A, C-44; өлшеу санаты B, D – 49;</w:t>
            </w:r>
          </w:p>
          <w:p>
            <w:pPr>
              <w:spacing w:after="20"/>
              <w:ind w:left="20"/>
              <w:jc w:val="both"/>
            </w:pPr>
            <w:r>
              <w:rPr>
                <w:rFonts w:ascii="Times New Roman"/>
                <w:b w:val="false"/>
                <w:i w:val="false"/>
                <w:color w:val="000000"/>
                <w:sz w:val="20"/>
              </w:rPr>
              <w:t>
корпусы жоқ артқа қайырылған қалақтары бар радиалды желдеткіш, өлшеу санаты A, С – 62;</w:t>
            </w:r>
          </w:p>
          <w:p>
            <w:pPr>
              <w:spacing w:after="20"/>
              <w:ind w:left="20"/>
              <w:jc w:val="both"/>
            </w:pPr>
            <w:r>
              <w:rPr>
                <w:rFonts w:ascii="Times New Roman"/>
                <w:b w:val="false"/>
                <w:i w:val="false"/>
                <w:color w:val="000000"/>
                <w:sz w:val="20"/>
              </w:rPr>
              <w:t>
корпуста артқа бүгілген қалақтары бар радиалды желдеткіш, өлшеу санаты A, C-61, өлшеу санаты B, D – 64;</w:t>
            </w:r>
          </w:p>
          <w:p>
            <w:pPr>
              <w:spacing w:after="20"/>
              <w:ind w:left="20"/>
              <w:jc w:val="both"/>
            </w:pPr>
            <w:r>
              <w:rPr>
                <w:rFonts w:ascii="Times New Roman"/>
                <w:b w:val="false"/>
                <w:i w:val="false"/>
                <w:color w:val="000000"/>
                <w:sz w:val="20"/>
              </w:rPr>
              <w:t>
диагональды желдеткіш, өлшеу санаты A, C-50, өлшеу санаты B, D – 62;</w:t>
            </w:r>
          </w:p>
          <w:p>
            <w:pPr>
              <w:spacing w:after="20"/>
              <w:ind w:left="20"/>
              <w:jc w:val="both"/>
            </w:pPr>
            <w:r>
              <w:rPr>
                <w:rFonts w:ascii="Times New Roman"/>
                <w:b w:val="false"/>
                <w:i w:val="false"/>
                <w:color w:val="000000"/>
                <w:sz w:val="20"/>
              </w:rPr>
              <w:t>
диаметрлік желдеткіш, өлшеу санаты B, D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1 қаңтардан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мақсаттарда (өндірісте, саудада және қызмет көрсету саласында) қолданылуы мүмкін тоқыма бұйымдарына арналған, ауаны электрмен немесе газбен жылыту құрылғысы бар ауыспалы ток желісінен қоректенетін барабанды типтегі кептіргіш тұрмыстық машиналар, оның ішінде центрифугалар мен құрама бөлшектердің құрамына кіретін кептіргіш машиналарды қоспағанда, кіріктірілген барабанды типті кептіргіш машиналар кір жуу-кептіру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Барабанды типті тұрмыстық кептіру машиналарында энергия тиімділігі класы А-дан төмен болмауы керек, бұл EEI&lt;0,65 энергия тиімділігі индексіне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1 қаңтардан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және (немесе) жылыту үшін номиналды қуаты 12 кВт-тан аспайтын электр желісінен қоректенетін ауа кондиционерлері, сондай-ақ номиналды тұтыну қуаты 125 кВт-тан аспайтын бөлме желдеткіштері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кондиционерлерінің энергия тиімділігі класы B-ден төмен болмауы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1 қаңтардан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режимде жұмыс істеуге арналған қысқа тұйықталған роторы бар, полюстер саны 2-ден 6-ға дейінгі, номиналды кернеуі 1000 В-қа дейінгі, номиналды жиілігі 50 немесе 50/60 Гц және номиналды қуаты 0,75-тен 375 кВт-қа дейінгі бір жылдамдықты үш фазалы электр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Асинхронды электр қозғалтқыштарының энергетикалық тиімділік класы IE3 -тен төмен болмауы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1 қаңтардан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суды айдауға арналған автономды және біріктірілген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және интеграцияланған сорғыларда энергия тиімділігінің минималды индексі 0,50-ге тең немесе одан жоғары болуы керек (MEI ≥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1 қаңтардан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параметрлерінің бірі (бос жүрісті жоғалту және (немесе) қысқа тұйықталуды жоғалту) энергия тиімділігінің 2 және одан астам (X2, Х3, Х4 және (немесе) К2, К3) класына сәйкес келуі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1 қаңтардан бастап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жабдықтарын жөндеу/жаңғырту бойынша жұмыстар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осы талаптарға сәйкес энергия тиімділігі жөніндегі талаптар қолданылатын тауарларды пайдалана отырып орындалуы тиіс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талаптарда көзделген тиісті тауарларға энергия тиімділігі бойынша талаптар қолданысқа енгізілген күнге қарай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жабдықтарды / вентиляциялық жүйелер мен жабдықтарды жөндеу/жаңғырту бойынша жұмыстар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 тазартуға арналған жабдықтарды жөндеу/жаңғырту бойынша жұмыстар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Энергиялық тиімді жарықты қамтамасыз ету бойынша жұмыстар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қозғалтқыштарын/генераторларды және ұқсас жабдықтарды (көлікте қолданылатындардан басқа) жөндеу/жаңғырту бойынша жұмыстар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қозғалтқыштарына арналған жабдықтарды енгізу/орнату/жақсарту бойынша жұмыстар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 / құрылыстарды салу бойынша жұмыстар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ғимараттарын/ғимараттарды/үй-жайларды жөндеу бойынша жұмыстар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 құрылыстарды / үй-жайларды қайта құру бойынша жұмыстар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ғимараттарды/құрылыстарды/жайларды қалпына келтіру бойынша жұмыстар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 / құрылыстарды салу бойынша жұмыстар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ғимараттарды/ғимараттарды/үй-жайларды жөндеу бойынша жұмыстар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 / құрылыстарды / үй-жайларды қайта құру бойынша жұмыстар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ғимараттарды/құрылыстарды/жайларды қалпына келтіру бойынша жұмыстар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ғимараттардың/құрылыстардың/үй-жайлардың жеке элементтерді (жабдықтардан, инженерлік жүйелер мен коммуникациядан басқа) жөндеу / қайта құру бойынша жұмыстар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жабдық пен жүйлереді/желдету жүйелер мен жабдықты орнату/монтаждау бойынша жұмыстар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Компьютерлік/перифериялық оргтехниканы/жабдықтарды жөндеу/жаңғырту бойынша жұмыстар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кызметтер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көмескі жарықты ұстау/қамтамасыз ету бойынша қызмет көрсетулер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кызметтер осы талаптарға сәйкес энергия тиімділігі жөніндегі талаптар қолданылатын тауарларды пайдалана отырып көрсетілуі тиіс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талаптарда көзделген тиісті тауарларға энергия тиімділігі бойынша талаптар қолданысқа енгізілген күнге қарай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Ғимарат/үймарат/құрылым мен жапсарлас аумақтарға күтім жасау қызметі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конструкцияларына/жарықдиодты конструкцияларға/жарықдиодты экрандарда және ұқсас жабдықтар мен конструкцияларға қызмет көрсету бойынша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