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1dc0" w14:textId="0d91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11 қарашадағы № 428/НҚ бұйрығы. Қазақстан Республикасының Әділет министрлігінде 2022 жылғы 14 қарашада № 30521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01.01.2023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Цифрлық даму, инновациялар және аэроғарыш өнеркәсібі министрінің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Цифрлық даму, инновациялар және аэроғарыш өнеркәсібі министрлігінің Өңірлерімен өзара іс-қимыл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ресми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2023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428/НҚ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әкімдіктің" үлгілік архитектурасын бекіту туралы" Қазақстан Республикасы Ақпарат және коммуникациялар министрінің 2018 жылғы 3 шілдедегі № 304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17191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"Электрондық әкімдіктің" үлгілік архитектурасын бекіту туралы" Қазақстан Республикасы Ақпарат және коммуникациялар министрінің 2018 жылғы 3 шілдедегі № 304 бұйрығына өзгерістер енгізу туралы" Қазақстан Республикасы Цифрлық даму, инновациялар және аэроғарыш өнеркәсібі министрінің 2021 жылғы 21 сәуірдегі № 142/НҚ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22606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"Электрондық әкімдіктің" үлгілік архитектурасын бекіту туралы" Қазақстан Республикасы Ақпарат және коммуникациялар министрінің 2018 жылғы 3 шілдедегі № 304 бұйрығына өзгерістер енгізу туралы" Қазақстан Республикасы Цифрлық даму, инновациялар және аэроғарыш өнеркәсібі министрінің 2021 жылғы 24 қарашадағы № 406/НҚ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25384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"Электрондық әкімдіктің" үлгілік архитектурасын бекіту туралы" Қазақстан Республикасы Ақпарат және коммуникациялар министрінің 2018 жылғы 3 шілдедегі № 304 бұйрығына өзгерістер енгізу туралы" Қазақстан Республикасы Цифрлық даму, инновациялар және аэроғарыш өнеркәсібі министрінің 2022 жылғы 29 қыркүйектегі № 352/НҚ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29966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