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d6b66" w14:textId="c5d6b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Өндіруші немесе импорттаушы қолданатын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жүйесіне қойылатын талаптарды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9 қарашадағы № 688 бұйрығы. Қазақстан Республикасының Әділет министрлігінде 2022 жылғы 10 қарашада № 30483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Экология кодексінің 386-бабының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Өндіруші немесе импорттаушы қолданатын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"Қалдықтарды жинаудың, қайта өңдеудің және кәдеге жаратудың меншікті жүйесін қолдану талаптарын бекіту туралы" Қазақстан Республикасы Энергетика министрінің 2015 жылғы 25 желтоқсандағы № 761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12669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Қалдықтарды басқару мемлекеттік саясат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бұйрықтың орындалуын бақылау жетекшілік ететін Қазақстан Республикасы Экология, геология және табиғи ресурстар вице-министріне жүктелсін.</w:t>
      </w:r>
    </w:p>
    <w:bookmarkEnd w:id="7"/>
    <w:bookmarkStart w:name="z10"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 xml:space="preserve">табиғи ресурстар министрінің </w:t>
            </w:r>
            <w:r>
              <w:br/>
            </w:r>
            <w:r>
              <w:rPr>
                <w:rFonts w:ascii="Times New Roman"/>
                <w:b w:val="false"/>
                <w:i w:val="false"/>
                <w:color w:val="000000"/>
                <w:sz w:val="20"/>
              </w:rPr>
              <w:t xml:space="preserve">2022 жылғы 9 қарашадағы </w:t>
            </w:r>
            <w:r>
              <w:br/>
            </w:r>
            <w:r>
              <w:rPr>
                <w:rFonts w:ascii="Times New Roman"/>
                <w:b w:val="false"/>
                <w:i w:val="false"/>
                <w:color w:val="000000"/>
                <w:sz w:val="20"/>
              </w:rPr>
              <w:t xml:space="preserve">№ 688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Өндіруші немесе импорттаушы қолданатын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жүйесіне қойылатын талаптар</w:t>
      </w:r>
    </w:p>
    <w:bookmarkEnd w:id="9"/>
    <w:p>
      <w:pPr>
        <w:spacing w:after="0"/>
        <w:ind w:left="0"/>
        <w:jc w:val="both"/>
      </w:pPr>
      <w:r>
        <w:rPr>
          <w:rFonts w:ascii="Times New Roman"/>
          <w:b w:val="false"/>
          <w:i w:val="false"/>
          <w:color w:val="ff0000"/>
          <w:sz w:val="28"/>
        </w:rPr>
        <w:t xml:space="preserve">
      Ескерту. Талаптар жаңа редакцияда - ҚР Экология және табиғи ресурстар министрінің м.а. 10.06.2025 </w:t>
      </w:r>
      <w:r>
        <w:rPr>
          <w:rFonts w:ascii="Times New Roman"/>
          <w:b w:val="false"/>
          <w:i w:val="false"/>
          <w:color w:val="ff0000"/>
          <w:sz w:val="28"/>
        </w:rPr>
        <w:t>№ 155</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5"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Өндіруші немесе импорттаушы қолданатын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жүйесіне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Қазақстан Республикасы Экология кодексінің (бұдан әрі – Кодекс) 386-бабының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өндірушілердің (импорттаушылардың) кеңейтілген міндеттемелері қолданылатын өнім (тауарлар) (бұдан әрі – өнім (тауарлар) тұтыну қасиеттерін жоғалтқаннан кейін пайда болған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жүйесіне қойылатын талаптар белгіленеді.</w:t>
      </w:r>
    </w:p>
    <w:bookmarkEnd w:id="11"/>
    <w:bookmarkStart w:name="z15" w:id="12"/>
    <w:p>
      <w:pPr>
        <w:spacing w:after="0"/>
        <w:ind w:left="0"/>
        <w:jc w:val="both"/>
      </w:pPr>
      <w:r>
        <w:rPr>
          <w:rFonts w:ascii="Times New Roman"/>
          <w:b w:val="false"/>
          <w:i w:val="false"/>
          <w:color w:val="000000"/>
          <w:sz w:val="28"/>
        </w:rPr>
        <w:t xml:space="preserve">
      2.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 қолдану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қамтамасыз ететін жеке және заңды тұлғалар Қазақстан Республикасының аумағында өндіретін және (немесе) Қазақстан Республикасының аумағына әкелетін өнімнің (тауарлардың) жекелеген түрлерінің тізбесін бекіту туралы" Қазақстан Республикасының Экология, геология және табиғи ресурстар министрінің 2022 жылғы 9 қарашадағы № 689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30484 болып тіркелген) сәйкес Қазақстан Республикасының аумағында өндіруді және (немесе) Қазақстан Республикасының аумағына әкелуді жүзеге асыратын жеке және заңды тұлғалардың (бұдан әрі – өндіруші (импорттаушы) мұндай өнім (тауарлар) тұтынушылық қасиеттерін жоғалтқаннан кейін пайда болған қалдықтарды пайдалану, сұрыптау, өңдеу, қайта өңдеу, залалсыздандыру және (немесе) кәдеге жарату бойынша міндеттемелерін орындауын қамтамасыз етуден тұрады.</w:t>
      </w:r>
    </w:p>
    <w:bookmarkEnd w:id="12"/>
    <w:bookmarkStart w:name="z16" w:id="13"/>
    <w:p>
      <w:pPr>
        <w:spacing w:after="0"/>
        <w:ind w:left="0"/>
        <w:jc w:val="left"/>
      </w:pPr>
      <w:r>
        <w:rPr>
          <w:rFonts w:ascii="Times New Roman"/>
          <w:b/>
          <w:i w:val="false"/>
          <w:color w:val="000000"/>
        </w:rPr>
        <w:t xml:space="preserve"> 2-тарау. Өндіруші немесе импорттаушы қолданатын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жүйесіне қойылатын талаптар</w:t>
      </w:r>
    </w:p>
    <w:bookmarkEnd w:id="13"/>
    <w:bookmarkStart w:name="z17" w:id="14"/>
    <w:p>
      <w:pPr>
        <w:spacing w:after="0"/>
        <w:ind w:left="0"/>
        <w:jc w:val="both"/>
      </w:pPr>
      <w:r>
        <w:rPr>
          <w:rFonts w:ascii="Times New Roman"/>
          <w:b w:val="false"/>
          <w:i w:val="false"/>
          <w:color w:val="000000"/>
          <w:sz w:val="28"/>
        </w:rPr>
        <w:t>
      3.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 өнімнің (тауарлардың) тұтыну қасиеттері жоғалғаннан кейін пайда болған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жолымен жүзеге асырылады.</w:t>
      </w:r>
    </w:p>
    <w:bookmarkEnd w:id="14"/>
    <w:bookmarkStart w:name="z18" w:id="15"/>
    <w:p>
      <w:pPr>
        <w:spacing w:after="0"/>
        <w:ind w:left="0"/>
        <w:jc w:val="both"/>
      </w:pPr>
      <w:r>
        <w:rPr>
          <w:rFonts w:ascii="Times New Roman"/>
          <w:b w:val="false"/>
          <w:i w:val="false"/>
          <w:color w:val="000000"/>
          <w:sz w:val="28"/>
        </w:rPr>
        <w:t>
      4.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 қолданған кезде өндіруші (импорттаушы):</w:t>
      </w:r>
    </w:p>
    <w:bookmarkEnd w:id="15"/>
    <w:bookmarkStart w:name="z19" w:id="16"/>
    <w:p>
      <w:pPr>
        <w:spacing w:after="0"/>
        <w:ind w:left="0"/>
        <w:jc w:val="both"/>
      </w:pPr>
      <w:r>
        <w:rPr>
          <w:rFonts w:ascii="Times New Roman"/>
          <w:b w:val="false"/>
          <w:i w:val="false"/>
          <w:color w:val="000000"/>
          <w:sz w:val="28"/>
        </w:rPr>
        <w:t>
      1) мұндай қалдықтарды одан әрі қалпына келтіруге жіберу мақсатында жеке және заңды тұлғалардан қалдықтарды жинауды;</w:t>
      </w:r>
    </w:p>
    <w:bookmarkEnd w:id="16"/>
    <w:bookmarkStart w:name="z20" w:id="17"/>
    <w:p>
      <w:pPr>
        <w:spacing w:after="0"/>
        <w:ind w:left="0"/>
        <w:jc w:val="both"/>
      </w:pPr>
      <w:r>
        <w:rPr>
          <w:rFonts w:ascii="Times New Roman"/>
          <w:b w:val="false"/>
          <w:i w:val="false"/>
          <w:color w:val="000000"/>
          <w:sz w:val="28"/>
        </w:rPr>
        <w:t>
      2) қалдықтарды тасымалдау өндірушіге (импорттаушыға) меншік құқығымен және (немесе) өзге де заңды негізде тиесілі көлік құралдарымен жүзеге асырылады;</w:t>
      </w:r>
    </w:p>
    <w:bookmarkEnd w:id="17"/>
    <w:bookmarkStart w:name="z21" w:id="18"/>
    <w:p>
      <w:pPr>
        <w:spacing w:after="0"/>
        <w:ind w:left="0"/>
        <w:jc w:val="both"/>
      </w:pPr>
      <w:r>
        <w:rPr>
          <w:rFonts w:ascii="Times New Roman"/>
          <w:b w:val="false"/>
          <w:i w:val="false"/>
          <w:color w:val="000000"/>
          <w:sz w:val="28"/>
        </w:rPr>
        <w:t>
      3) егер өндірушінің (импорттаушының) технологиялық регламенті жинау, тасымалдау, қайта пайдалануға дайындау, сұрыптау, өңдеу, қайта өңдеу, залалсыздандыру жөніндегі қызметке арналған жағдайда, қалдықтарға айналған өнімнің немесе оның компоненттерінің жай-күйін тексеру, тазалау және (немесе) жөндеу жинау, тасымалдау, қайта пайдалануға дайындау, сұрыптау, өңдеу, қайта өңдеу үшін меншікті техника мен жабдықты пайдалануды сипаттай отырып, қалдықтарды кәдеге жарату және (немесе) кәдеге жарату, қалдықтарды залалсыздандыру және (немесе) кәдеге жарату (бұдан әрі – технологиялық регламент) қалдықтарды қайта пайдалануға дайындауды;</w:t>
      </w:r>
    </w:p>
    <w:bookmarkEnd w:id="18"/>
    <w:bookmarkStart w:name="z22" w:id="19"/>
    <w:p>
      <w:pPr>
        <w:spacing w:after="0"/>
        <w:ind w:left="0"/>
        <w:jc w:val="both"/>
      </w:pPr>
      <w:r>
        <w:rPr>
          <w:rFonts w:ascii="Times New Roman"/>
          <w:b w:val="false"/>
          <w:i w:val="false"/>
          <w:color w:val="000000"/>
          <w:sz w:val="28"/>
        </w:rPr>
        <w:t>
      4) егер технологиялық регламентте қалдықтарды сұрыптау көзделген жағдайда, қалдықтарды қалпына келтіру немесе жою жөніндегі операцияларға жататын қалдықтарды жинау процесінде және (немесе) объектілерде қалдықтарды олардың түрлері және (немесе) фракциялары бойынша бөлу не қалдықтарды олардың құрамдас бөліктері бойынша талдауды;</w:t>
      </w:r>
    </w:p>
    <w:bookmarkEnd w:id="19"/>
    <w:bookmarkStart w:name="z23" w:id="20"/>
    <w:p>
      <w:pPr>
        <w:spacing w:after="0"/>
        <w:ind w:left="0"/>
        <w:jc w:val="both"/>
      </w:pPr>
      <w:r>
        <w:rPr>
          <w:rFonts w:ascii="Times New Roman"/>
          <w:b w:val="false"/>
          <w:i w:val="false"/>
          <w:color w:val="000000"/>
          <w:sz w:val="28"/>
        </w:rPr>
        <w:t xml:space="preserve">
      5) егер технологиялық регламентте қалдықтарды өңдеу көзделген жағдайда қалдықтарды одан әрі басқаруды жеңілдету мақсатында қалдықтардың сипаттамаларын өзгертетін және оларды жинағанға дейін, жинау процесінде және (немесе) қалдықтар қалпына келтіру немесе жою жөніндегі операцияларға ұшырайтын объектілерде жеке немесе қалдықтар жинақталған кезде жүзеге асырылатын физикалық, термиялық, химиялық немесе биологиялық әсерлерге ұшырауы; </w:t>
      </w:r>
    </w:p>
    <w:bookmarkEnd w:id="20"/>
    <w:bookmarkStart w:name="z24" w:id="21"/>
    <w:p>
      <w:pPr>
        <w:spacing w:after="0"/>
        <w:ind w:left="0"/>
        <w:jc w:val="both"/>
      </w:pPr>
      <w:r>
        <w:rPr>
          <w:rFonts w:ascii="Times New Roman"/>
          <w:b w:val="false"/>
          <w:i w:val="false"/>
          <w:color w:val="000000"/>
          <w:sz w:val="28"/>
        </w:rPr>
        <w:t>
      6) Қазақстан Республикасының аумағында қалдықтарды қайта өңдеуді:</w:t>
      </w:r>
    </w:p>
    <w:bookmarkEnd w:id="21"/>
    <w:p>
      <w:pPr>
        <w:spacing w:after="0"/>
        <w:ind w:left="0"/>
        <w:jc w:val="both"/>
      </w:pPr>
      <w:r>
        <w:rPr>
          <w:rFonts w:ascii="Times New Roman"/>
          <w:b w:val="false"/>
          <w:i w:val="false"/>
          <w:color w:val="000000"/>
          <w:sz w:val="28"/>
        </w:rPr>
        <w:t>
      өндірушілер үшін:</w:t>
      </w:r>
    </w:p>
    <w:p>
      <w:pPr>
        <w:spacing w:after="0"/>
        <w:ind w:left="0"/>
        <w:jc w:val="both"/>
      </w:pPr>
      <w:r>
        <w:rPr>
          <w:rFonts w:ascii="Times New Roman"/>
          <w:b w:val="false"/>
          <w:i w:val="false"/>
          <w:color w:val="000000"/>
          <w:sz w:val="28"/>
        </w:rPr>
        <w:t>
      2027 жылға дейін тиісті жартыжылдықта өткізілген өнім (тауар) массасының кемінде 30 (отыз) пайызы;</w:t>
      </w:r>
    </w:p>
    <w:p>
      <w:pPr>
        <w:spacing w:after="0"/>
        <w:ind w:left="0"/>
        <w:jc w:val="both"/>
      </w:pPr>
      <w:r>
        <w:rPr>
          <w:rFonts w:ascii="Times New Roman"/>
          <w:b w:val="false"/>
          <w:i w:val="false"/>
          <w:color w:val="000000"/>
          <w:sz w:val="28"/>
        </w:rPr>
        <w:t>
      2027 жылдан бастап 2028 жылға дейін тиісті жартыжылдықта өткізілген өнім (тауар) массасының кемінде 32 (отыз екі) пайызы;</w:t>
      </w:r>
    </w:p>
    <w:p>
      <w:pPr>
        <w:spacing w:after="0"/>
        <w:ind w:left="0"/>
        <w:jc w:val="both"/>
      </w:pPr>
      <w:r>
        <w:rPr>
          <w:rFonts w:ascii="Times New Roman"/>
          <w:b w:val="false"/>
          <w:i w:val="false"/>
          <w:color w:val="000000"/>
          <w:sz w:val="28"/>
        </w:rPr>
        <w:t>
      2028 жылдан бастап 2029 жылға дейін тиісті жартыжылдықта өткізілген өнім (тауар) массасының кемінде 34 (отыз төрт) пайызы;</w:t>
      </w:r>
    </w:p>
    <w:p>
      <w:pPr>
        <w:spacing w:after="0"/>
        <w:ind w:left="0"/>
        <w:jc w:val="both"/>
      </w:pPr>
      <w:r>
        <w:rPr>
          <w:rFonts w:ascii="Times New Roman"/>
          <w:b w:val="false"/>
          <w:i w:val="false"/>
          <w:color w:val="000000"/>
          <w:sz w:val="28"/>
        </w:rPr>
        <w:t xml:space="preserve">
      2029 жылдан бастап 2030 жылға дейін тиісті жартыжылдықта өткізілген өнім (тауар) массасының кемінде 36 (отыз алты) пайызы; </w:t>
      </w:r>
    </w:p>
    <w:p>
      <w:pPr>
        <w:spacing w:after="0"/>
        <w:ind w:left="0"/>
        <w:jc w:val="both"/>
      </w:pPr>
      <w:r>
        <w:rPr>
          <w:rFonts w:ascii="Times New Roman"/>
          <w:b w:val="false"/>
          <w:i w:val="false"/>
          <w:color w:val="000000"/>
          <w:sz w:val="28"/>
        </w:rPr>
        <w:t>
      2030 жылдан бастап 2031 жылға дейін тиісті жартыжылдықта өткізілген өнім (тауар) массасының кемінде 38 (отыз сегіз) пайызы;</w:t>
      </w:r>
    </w:p>
    <w:p>
      <w:pPr>
        <w:spacing w:after="0"/>
        <w:ind w:left="0"/>
        <w:jc w:val="both"/>
      </w:pPr>
      <w:r>
        <w:rPr>
          <w:rFonts w:ascii="Times New Roman"/>
          <w:b w:val="false"/>
          <w:i w:val="false"/>
          <w:color w:val="000000"/>
          <w:sz w:val="28"/>
        </w:rPr>
        <w:t xml:space="preserve">
      2031 жылдан бастап тиісті жартыжылдықта өткізілген өнім (тауар) массасының кемінде 40 (қырық) пайызы. </w:t>
      </w:r>
    </w:p>
    <w:p>
      <w:pPr>
        <w:spacing w:after="0"/>
        <w:ind w:left="0"/>
        <w:jc w:val="both"/>
      </w:pPr>
      <w:r>
        <w:rPr>
          <w:rFonts w:ascii="Times New Roman"/>
          <w:b w:val="false"/>
          <w:i w:val="false"/>
          <w:color w:val="000000"/>
          <w:sz w:val="28"/>
        </w:rPr>
        <w:t xml:space="preserve">
      Осы тармақшада көрсетілген көрсеткіштерге, тиісті есепті кезеңде өнім (тауар) массасынан өткізілген қалдықтарды қайта өңдеу көрсеткіштеріне қол жеткізілмеген кезде, сондай-ақ осы тармақтың талаптары орындалмаған кезде өндірушіге меншікті жүйесін қолдану арқылы өндірушілердің (импорттаушылардың) кеңейтілген міндеттемелерінің орындалуы расталмайды және өндіруші Кодекстің 386-бабы 2-тармағының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өндірушілердің (импорттаушылардың) кеңейтілген міндеттемелерін орындайды.</w:t>
      </w:r>
    </w:p>
    <w:p>
      <w:pPr>
        <w:spacing w:after="0"/>
        <w:ind w:left="0"/>
        <w:jc w:val="both"/>
      </w:pPr>
      <w:r>
        <w:rPr>
          <w:rFonts w:ascii="Times New Roman"/>
          <w:b w:val="false"/>
          <w:i w:val="false"/>
          <w:color w:val="000000"/>
          <w:sz w:val="28"/>
        </w:rPr>
        <w:t>
      Осы тармақшада көрсетілген қалдықтарды қайта өңдеу көрсеткіштеріне қол жеткізген кезде тиісті жартыжылдықта өткізілген өнім (тауар) массасынан, сондай-ақ осы тармақтың талаптары орындалған кезде өндірушіге меншікті жүйесін қолдану арқылы өндірушілердің (импорттаушылардың) кеңейтілген міндеттемелерінің орындалуы расталады.</w:t>
      </w:r>
    </w:p>
    <w:p>
      <w:pPr>
        <w:spacing w:after="0"/>
        <w:ind w:left="0"/>
        <w:jc w:val="both"/>
      </w:pPr>
      <w:r>
        <w:rPr>
          <w:rFonts w:ascii="Times New Roman"/>
          <w:b w:val="false"/>
          <w:i w:val="false"/>
          <w:color w:val="000000"/>
          <w:sz w:val="28"/>
        </w:rPr>
        <w:t xml:space="preserve">
      Импорттаушылар үшін: </w:t>
      </w:r>
    </w:p>
    <w:p>
      <w:pPr>
        <w:spacing w:after="0"/>
        <w:ind w:left="0"/>
        <w:jc w:val="both"/>
      </w:pPr>
      <w:r>
        <w:rPr>
          <w:rFonts w:ascii="Times New Roman"/>
          <w:b w:val="false"/>
          <w:i w:val="false"/>
          <w:color w:val="000000"/>
          <w:sz w:val="28"/>
        </w:rPr>
        <w:t xml:space="preserve">
      2027 жылға дейін тиісті жартыжылдықта импортталған өнім (тауар) массасының кемінде 30 (отыз) пайызы; </w:t>
      </w:r>
    </w:p>
    <w:p>
      <w:pPr>
        <w:spacing w:after="0"/>
        <w:ind w:left="0"/>
        <w:jc w:val="both"/>
      </w:pPr>
      <w:r>
        <w:rPr>
          <w:rFonts w:ascii="Times New Roman"/>
          <w:b w:val="false"/>
          <w:i w:val="false"/>
          <w:color w:val="000000"/>
          <w:sz w:val="28"/>
        </w:rPr>
        <w:t xml:space="preserve">
      2027 жылдан бастап 2028 жылға дейін тиісті жартыжылдықта импортталған өнім (тауар) массасының кемінде 32 (отыз екі) пайызы; </w:t>
      </w:r>
    </w:p>
    <w:p>
      <w:pPr>
        <w:spacing w:after="0"/>
        <w:ind w:left="0"/>
        <w:jc w:val="both"/>
      </w:pPr>
      <w:r>
        <w:rPr>
          <w:rFonts w:ascii="Times New Roman"/>
          <w:b w:val="false"/>
          <w:i w:val="false"/>
          <w:color w:val="000000"/>
          <w:sz w:val="28"/>
        </w:rPr>
        <w:t>
      2028 жылдан бастап 2029 жылға дейін тиісті жартыжылдықта импортталған өнім (тауар) массасының кемінде 34 (отыз төрт) пайызы;</w:t>
      </w:r>
    </w:p>
    <w:p>
      <w:pPr>
        <w:spacing w:after="0"/>
        <w:ind w:left="0"/>
        <w:jc w:val="both"/>
      </w:pPr>
      <w:r>
        <w:rPr>
          <w:rFonts w:ascii="Times New Roman"/>
          <w:b w:val="false"/>
          <w:i w:val="false"/>
          <w:color w:val="000000"/>
          <w:sz w:val="28"/>
        </w:rPr>
        <w:t>
      2029 жылдан бастап 2030 жылға дейін тиісті жартыжылдықта импортталған өнім (тауар) массасының кемінде 36 (отыз алты) пайызы;</w:t>
      </w:r>
    </w:p>
    <w:p>
      <w:pPr>
        <w:spacing w:after="0"/>
        <w:ind w:left="0"/>
        <w:jc w:val="both"/>
      </w:pPr>
      <w:r>
        <w:rPr>
          <w:rFonts w:ascii="Times New Roman"/>
          <w:b w:val="false"/>
          <w:i w:val="false"/>
          <w:color w:val="000000"/>
          <w:sz w:val="28"/>
        </w:rPr>
        <w:t xml:space="preserve">
      2030 жылдан бастап 2031 жылы тиісті жартыжылдықта импортталған өнім (тауар) массасының кемінде 38 (отыз сегіз) пайызы; </w:t>
      </w:r>
    </w:p>
    <w:p>
      <w:pPr>
        <w:spacing w:after="0"/>
        <w:ind w:left="0"/>
        <w:jc w:val="both"/>
      </w:pPr>
      <w:r>
        <w:rPr>
          <w:rFonts w:ascii="Times New Roman"/>
          <w:b w:val="false"/>
          <w:i w:val="false"/>
          <w:color w:val="000000"/>
          <w:sz w:val="28"/>
        </w:rPr>
        <w:t>
      2031 жылдан бастап өнім (тиісті жартыжылдықта импортталған тауарлар) массасының кемінде 40 (қырық) пайызы.</w:t>
      </w:r>
    </w:p>
    <w:p>
      <w:pPr>
        <w:spacing w:after="0"/>
        <w:ind w:left="0"/>
        <w:jc w:val="both"/>
      </w:pPr>
      <w:r>
        <w:rPr>
          <w:rFonts w:ascii="Times New Roman"/>
          <w:b w:val="false"/>
          <w:i w:val="false"/>
          <w:color w:val="000000"/>
          <w:sz w:val="28"/>
        </w:rPr>
        <w:t xml:space="preserve">
      Осы тармақшада көрсетілген көрсеткіштерге, тиісті есепті кезеңде импортталған өнім (тауар) массасынан қалдықтарды қайта өңдеу көрсеткіштеріне қол жеткізілмеген кезде, сондай-ақ осы тармақтың талаптары орындалмаған кезде импорттаушыға меншікті жүйесін қолдану арқылы өндірушілердің (импорттаушылардың) кеңейтілген міндеттемелерінің орындалуы расталмайды және импорттаушы Кодекстің 386-бабы 2-тармағының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өндірушілердің (импорттаушылардың) кеңейтілген міндеттемелерін орындайды.</w:t>
      </w:r>
    </w:p>
    <w:p>
      <w:pPr>
        <w:spacing w:after="0"/>
        <w:ind w:left="0"/>
        <w:jc w:val="both"/>
      </w:pPr>
      <w:r>
        <w:rPr>
          <w:rFonts w:ascii="Times New Roman"/>
          <w:b w:val="false"/>
          <w:i w:val="false"/>
          <w:color w:val="000000"/>
          <w:sz w:val="28"/>
        </w:rPr>
        <w:t>
      Осы тармақшада көрсетілген қайта өңдеу көрсеткіштеріне қол жеткізген кезде тиісті жартыжылдықта импортталған өнім (тауар) массасынан, сондай-ақ осы тармақтың талаптары орындалған кезде өндірушіге меншікті жүйесін қолдану арқылы өндірушілердің (импорттаушылардың) кеңейтілген міндеттемелерінің орындалуы расталады.</w:t>
      </w:r>
    </w:p>
    <w:bookmarkStart w:name="z25" w:id="22"/>
    <w:p>
      <w:pPr>
        <w:spacing w:after="0"/>
        <w:ind w:left="0"/>
        <w:jc w:val="both"/>
      </w:pPr>
      <w:r>
        <w:rPr>
          <w:rFonts w:ascii="Times New Roman"/>
          <w:b w:val="false"/>
          <w:i w:val="false"/>
          <w:color w:val="000000"/>
          <w:sz w:val="28"/>
        </w:rPr>
        <w:t>
      7) егер технологиялық регламентте қалдықтарды залалсыздандыру көзделген жағдайда, қалдықтардың қауіпті қасиеттерін азайту немесе жою үшін оларды механикалық, физика-химиялық немесе биологиялық өңдеуді;</w:t>
      </w:r>
    </w:p>
    <w:bookmarkEnd w:id="22"/>
    <w:bookmarkStart w:name="z26" w:id="23"/>
    <w:p>
      <w:pPr>
        <w:spacing w:after="0"/>
        <w:ind w:left="0"/>
        <w:jc w:val="both"/>
      </w:pPr>
      <w:r>
        <w:rPr>
          <w:rFonts w:ascii="Times New Roman"/>
          <w:b w:val="false"/>
          <w:i w:val="false"/>
          <w:color w:val="000000"/>
          <w:sz w:val="28"/>
        </w:rPr>
        <w:t>
      8) қалдықтарды қайта өңдеуден басқа өзге де мақсаттарда, оның ішінде жылу немесе электр энергиясын алу, отынның әртүрлі түрлерін өндіру үшін қайталама энергетикалық ресурс ретінде, сондай-ақ жердегі немесе жер қойнауындағы немесе жер қойнауындағы қазылған кеңістіктерді (бос орындарды) салу, толтыру (төсеу, толтыру) мақсаттары үшін қайталама материалдық ресурс ретінде пайдалану егер технологиялық регламентте қалдықтарды кәдеге жарату көзделген жағдайда, қалдықтарды кәдеге жарату ландшафттарын құру немесе өзгерту кезінде инженерлік мақсаттар көзделеді.</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