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ece6" w14:textId="a1be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28 қазандағы № 78 қаулысы. Қазақстан Республикасының Әділет министрлігінде 2022 жылғы 28 қазанда № 30341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банк қызметі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2023 жылғы 1 қаңтардан бастап қолданысқа енгізілетін Тізбенің </w:t>
      </w:r>
      <w:r>
        <w:rPr>
          <w:rFonts w:ascii="Times New Roman"/>
          <w:b w:val="false"/>
          <w:i w:val="false"/>
          <w:color w:val="000000"/>
          <w:sz w:val="28"/>
        </w:rPr>
        <w:t>4-тармағының</w:t>
      </w:r>
      <w:r>
        <w:rPr>
          <w:rFonts w:ascii="Times New Roman"/>
          <w:b w:val="false"/>
          <w:i w:val="false"/>
          <w:color w:val="000000"/>
          <w:sz w:val="28"/>
        </w:rPr>
        <w:t xml:space="preserve"> бір жүз жиырма екінші, бір жүз жиырма үшінші, бір жүз жиырма бесінші, бір жүз жиырма алтыншы, бір жүз жиырма жетінші, бір жүз жиырма сегізінші, бір жүз жиырма тоғызыншы, бір жүз отызыншы, бір жүз отыз бірінші, бір жүз отыз екінші, бір жүз отыз үшінші, бір жүз отыз төртінші, бір жүз отыз бесінші, бір жүз отыз алтыншы, бір жүз отыз жетінші, бір жүз отыз сегізінші, бір жүз отыз тоғызыншы, бір жүз қырық бірінші, бір жүз қырық екінші, бір жүз қырық үшінші, бір жүз қырық төртінші және бір жүз қырық бесінші абзацтарын, 2024 жылғы 1 қаңтардан бастап қолданысқа енгізілетін Тізбенің </w:t>
      </w:r>
      <w:r>
        <w:rPr>
          <w:rFonts w:ascii="Times New Roman"/>
          <w:b w:val="false"/>
          <w:i w:val="false"/>
          <w:color w:val="000000"/>
          <w:sz w:val="28"/>
        </w:rPr>
        <w:t>3-тармағының</w:t>
      </w:r>
      <w:r>
        <w:rPr>
          <w:rFonts w:ascii="Times New Roman"/>
          <w:b w:val="false"/>
          <w:i w:val="false"/>
          <w:color w:val="000000"/>
          <w:sz w:val="28"/>
        </w:rPr>
        <w:t xml:space="preserve"> тоқсан тоғызыншы, бір жүз бірінші, бір жүз төртінші, бір жүз елу сегізінші, бір жүз алпыс бірінші, бір жүз алпыс төртінші абзацтарын қоспағанда, алғашқы ресми жарияланған күнінен кейін күнтізбелік он күн өткен соң қолданысқа енгізіледі. Тізбенің </w:t>
      </w:r>
      <w:r>
        <w:rPr>
          <w:rFonts w:ascii="Times New Roman"/>
          <w:b w:val="false"/>
          <w:i w:val="false"/>
          <w:color w:val="000000"/>
          <w:sz w:val="28"/>
        </w:rPr>
        <w:t>3-тармағының</w:t>
      </w:r>
      <w:r>
        <w:rPr>
          <w:rFonts w:ascii="Times New Roman"/>
          <w:b w:val="false"/>
          <w:i w:val="false"/>
          <w:color w:val="000000"/>
          <w:sz w:val="28"/>
        </w:rPr>
        <w:t xml:space="preserve"> бір жүзінші, бір жүз бесінші, бір жүз елу тоғызыншы, бір жүз алпыс екінші, бір жүз алпыс бесінші, бір жүз алпыс тоғызыншы абзацтары 2022 жылғы 1 қыркүйектен бастап туындаған құқықтық қатынастарға қолданылады және 2023 жылғы 31 желтоқсанға дейін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2022 жылғы 28 қазандағы</w:t>
            </w:r>
            <w:r>
              <w:br/>
            </w:r>
            <w:r>
              <w:rPr>
                <w:rFonts w:ascii="Times New Roman"/>
                <w:b w:val="false"/>
                <w:i w:val="false"/>
                <w:color w:val="000000"/>
                <w:sz w:val="20"/>
              </w:rPr>
              <w:t>№ 78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банк қызметі мәселелері бойынша өзгерістер енгізілетін нормативтік құқықтық актілерінің тізбесі</w:t>
      </w:r>
    </w:p>
    <w:bookmarkEnd w:id="8"/>
    <w:p>
      <w:pPr>
        <w:spacing w:after="0"/>
        <w:ind w:left="0"/>
        <w:jc w:val="both"/>
      </w:pPr>
      <w:bookmarkStart w:name="z11" w:id="9"/>
      <w:r>
        <w:rPr>
          <w:rFonts w:ascii="Times New Roman"/>
          <w:b w:val="false"/>
          <w:i w:val="false"/>
          <w:color w:val="ff0000"/>
          <w:sz w:val="28"/>
        </w:rPr>
        <w:t xml:space="preserve">
      1.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Қаржы нарығын реттеу және дамыту агенттігі Басқармасының 29.09.2025 </w:t>
      </w:r>
      <w:r>
        <w:rPr>
          <w:rFonts w:ascii="Times New Roman"/>
          <w:b w:val="false"/>
          <w:i w:val="false"/>
          <w:color w:val="000000"/>
          <w:sz w:val="28"/>
        </w:rPr>
        <w:t>№ 61</w:t>
      </w:r>
      <w:r>
        <w:rPr>
          <w:rFonts w:ascii="Times New Roman"/>
          <w:b w:val="false"/>
          <w:i w:val="false"/>
          <w:color w:val="000000"/>
          <w:sz w:val="28"/>
        </w:rPr>
        <w:t xml:space="preserve"> (01.01.2026 бастап қолданысқа енгізіледі) қаулысымен.</w:t>
      </w:r>
    </w:p>
    <w:bookmarkStart w:name="z43" w:id="10"/>
    <w:p>
      <w:pPr>
        <w:spacing w:after="0"/>
        <w:ind w:left="0"/>
        <w:jc w:val="both"/>
      </w:pPr>
      <w:r>
        <w:rPr>
          <w:rFonts w:ascii="Times New Roman"/>
          <w:b w:val="false"/>
          <w:i w:val="false"/>
          <w:color w:val="000000"/>
          <w:sz w:val="28"/>
        </w:rPr>
        <w:t xml:space="preserve">
      4.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енгізілсін:</w:t>
      </w:r>
    </w:p>
    <w:bookmarkEnd w:id="10"/>
    <w:bookmarkStart w:name="z44" w:id="11"/>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6" w:id="12"/>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bookmarkEnd w:id="12"/>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p>
      <w:pPr>
        <w:spacing w:after="0"/>
        <w:ind w:left="0"/>
        <w:jc w:val="both"/>
      </w:pPr>
      <w:r>
        <w:rPr>
          <w:rFonts w:ascii="Times New Roman"/>
          <w:b w:val="false"/>
          <w:i w:val="false"/>
          <w:color w:val="000000"/>
          <w:sz w:val="28"/>
        </w:rPr>
        <w:t>
      провизиялардың жеткіліктілік деңгейін ұстап тұру;</w:t>
      </w:r>
    </w:p>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p>
      <w:pPr>
        <w:spacing w:after="0"/>
        <w:ind w:left="0"/>
        <w:jc w:val="both"/>
      </w:pPr>
      <w:r>
        <w:rPr>
          <w:rFonts w:ascii="Times New Roman"/>
          <w:b w:val="false"/>
          <w:i w:val="false"/>
          <w:color w:val="000000"/>
          <w:sz w:val="28"/>
        </w:rPr>
        <w:t xml:space="preserve">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(бұдан әрі – Салық кодексі), Банктер туралы </w:t>
      </w:r>
      <w:r>
        <w:rPr>
          <w:rFonts w:ascii="Times New Roman"/>
          <w:b w:val="false"/>
          <w:i w:val="false"/>
          <w:color w:val="000000"/>
          <w:sz w:val="28"/>
        </w:rPr>
        <w:t>заңның</w:t>
      </w:r>
      <w:r>
        <w:rPr>
          <w:rFonts w:ascii="Times New Roman"/>
          <w:b w:val="false"/>
          <w:i w:val="false"/>
          <w:color w:val="000000"/>
          <w:sz w:val="28"/>
        </w:rPr>
        <w:t xml:space="preserve">, "Бухгалтерлік есеп және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Бухгалтерлік есеп және қаржылық есептілік туралы заң), "Қазақстан Республикасында кредиттік бюролар және кредиттік тарихты қалыптастыру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ішкі саясаттарды және кредиттік тәуекелді басқару бойынша рәсімдерді сақтау;</w:t>
      </w:r>
    </w:p>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p>
      <w:pPr>
        <w:spacing w:after="0"/>
        <w:ind w:left="0"/>
        <w:jc w:val="both"/>
      </w:pPr>
      <w:r>
        <w:rPr>
          <w:rFonts w:ascii="Times New Roman"/>
          <w:b w:val="false"/>
          <w:i w:val="false"/>
          <w:color w:val="000000"/>
          <w:sz w:val="28"/>
        </w:rPr>
        <w:t>
      банктің кредиттік қызметінің негізгі бағыттары;</w:t>
      </w:r>
    </w:p>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p>
      <w:pPr>
        <w:spacing w:after="0"/>
        <w:ind w:left="0"/>
        <w:jc w:val="both"/>
      </w:pPr>
      <w:r>
        <w:rPr>
          <w:rFonts w:ascii="Times New Roman"/>
          <w:b w:val="false"/>
          <w:i w:val="false"/>
          <w:color w:val="000000"/>
          <w:sz w:val="28"/>
        </w:rPr>
        <w:t>
      қарыз алушының кредиттік қабілеттілігін талдау рәсімі.</w:t>
      </w:r>
    </w:p>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жылжымайтын және басқа мүлігінің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басқа да берешегінің болуы;</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w:t>
      </w:r>
    </w:p>
    <w:p>
      <w:pPr>
        <w:spacing w:after="0"/>
        <w:ind w:left="0"/>
        <w:jc w:val="both"/>
      </w:pPr>
      <w:r>
        <w:rPr>
          <w:rFonts w:ascii="Times New Roman"/>
          <w:b w:val="false"/>
          <w:i w:val="false"/>
          <w:color w:val="000000"/>
          <w:sz w:val="28"/>
        </w:rPr>
        <w:t>
      қарыз алушының кірістері туралы қосымша ақпарат.</w:t>
      </w:r>
    </w:p>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алдындағы;</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 (бар болса).</w:t>
      </w:r>
    </w:p>
    <w:p>
      <w:pPr>
        <w:spacing w:after="0"/>
        <w:ind w:left="0"/>
        <w:jc w:val="both"/>
      </w:pPr>
      <w:r>
        <w:rPr>
          <w:rFonts w:ascii="Times New Roman"/>
          <w:b w:val="false"/>
          <w:i w:val="false"/>
          <w:color w:val="000000"/>
          <w:sz w:val="28"/>
        </w:rPr>
        <w:t>
      Егер заңды тұлғаға ұсынылған қарыздардың және шартты міндеттемелердің жалпы сомасы мөлшері 100 (жүз) миллиард теңгеден асатын банктің меншікті капиталының 0,1 (нөл бүтін оннан бір) пайызынан асатын немесе мөлшері 100 (жүз) миллиард теңгеден аспайтын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p>
      <w:pPr>
        <w:spacing w:after="0"/>
        <w:ind w:left="0"/>
        <w:jc w:val="both"/>
      </w:pPr>
      <w:r>
        <w:rPr>
          <w:rFonts w:ascii="Times New Roman"/>
          <w:b w:val="false"/>
          <w:i w:val="false"/>
          <w:color w:val="000000"/>
          <w:sz w:val="28"/>
        </w:rPr>
        <w:t>
      Активтерінің баланстық құны банктің меншікті капиталының 0,2 (нөл бүтін оннан екі)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(Стандарт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p>
      <w:pPr>
        <w:spacing w:after="0"/>
        <w:ind w:left="0"/>
        <w:jc w:val="both"/>
      </w:pPr>
      <w:r>
        <w:rPr>
          <w:rFonts w:ascii="Times New Roman"/>
          <w:b w:val="false"/>
          <w:i w:val="false"/>
          <w:color w:val="000000"/>
          <w:sz w:val="28"/>
        </w:rPr>
        <w:t xml:space="preserve">
      2024 жылғы 1 қаңтардан бастап салық декларациясының болуы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айырмашылықтарға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p>
      <w:pPr>
        <w:spacing w:after="0"/>
        <w:ind w:left="0"/>
        <w:jc w:val="both"/>
      </w:pPr>
      <w:r>
        <w:rPr>
          <w:rFonts w:ascii="Times New Roman"/>
          <w:b w:val="false"/>
          <w:i w:val="false"/>
          <w:color w:val="000000"/>
          <w:sz w:val="28"/>
        </w:rPr>
        <w:t>
      Банк ішкі құжаттардағы айырмашылықтардың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 айырмашылықтар (бірақ олармен шектелмей) елеулі алшақтықтар болып табылады.</w:t>
      </w:r>
    </w:p>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p>
      <w:pPr>
        <w:spacing w:after="0"/>
        <w:ind w:left="0"/>
        <w:jc w:val="both"/>
      </w:pPr>
      <w:r>
        <w:rPr>
          <w:rFonts w:ascii="Times New Roman"/>
          <w:b w:val="false"/>
          <w:i w:val="false"/>
          <w:color w:val="000000"/>
          <w:sz w:val="28"/>
        </w:rPr>
        <w:t xml:space="preserve">
      Қаржылық есептілік және (немесе) салық декларациясы болмаған жағдайда (Салық </w:t>
      </w:r>
      <w:r>
        <w:rPr>
          <w:rFonts w:ascii="Times New Roman"/>
          <w:b w:val="false"/>
          <w:i w:val="false"/>
          <w:color w:val="000000"/>
          <w:sz w:val="28"/>
        </w:rPr>
        <w:t>кодексіне</w:t>
      </w:r>
      <w:r>
        <w:rPr>
          <w:rFonts w:ascii="Times New Roman"/>
          <w:b w:val="false"/>
          <w:i w:val="false"/>
          <w:color w:val="000000"/>
          <w:sz w:val="28"/>
        </w:rPr>
        <w:t xml:space="preserve"> және Бухгалтерлік есеп және қаржылық есептілік туралы </w:t>
      </w:r>
      <w:r>
        <w:rPr>
          <w:rFonts w:ascii="Times New Roman"/>
          <w:b w:val="false"/>
          <w:i w:val="false"/>
          <w:color w:val="000000"/>
          <w:sz w:val="28"/>
        </w:rPr>
        <w:t>заңға</w:t>
      </w:r>
      <w:r>
        <w:rPr>
          <w:rFonts w:ascii="Times New Roman"/>
          <w:b w:val="false"/>
          <w:i w:val="false"/>
          <w:color w:val="000000"/>
          <w:sz w:val="28"/>
        </w:rPr>
        <w:t xml:space="preserve"> сәйкес оларды тапсыру талап етілмеген жағдайда) қарыз алушының активтері және өзге де табыс көздері туралы ақпарат (банк шоттары бойынша үзінді- көшірмелер, меншікте тиісті активтердің болуын растау) сұратылады.</w:t>
      </w:r>
    </w:p>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p>
      <w:pPr>
        <w:spacing w:after="0"/>
        <w:ind w:left="0"/>
        <w:jc w:val="both"/>
      </w:pPr>
      <w:r>
        <w:rPr>
          <w:rFonts w:ascii="Times New Roman"/>
          <w:b w:val="false"/>
          <w:i w:val="false"/>
          <w:color w:val="000000"/>
          <w:sz w:val="28"/>
        </w:rPr>
        <w:t>
      Банк осы тармақшаның отыз үшінші, отыз төртінші, отыз бесінші, отыз алтыншы, отыз сегізінші, отыз тоғызыншы, қырық бірінші, қырық екінші және қырық үшінші абзацтарында белгіленген талаптарды сақтамай қарыз берген жағдайда, қарыз алушының барлық міндеттемесі ХҚЕС бойынша құнсызданған активтерге жатады;</w:t>
      </w:r>
    </w:p>
    <w:p>
      <w:pPr>
        <w:spacing w:after="0"/>
        <w:ind w:left="0"/>
        <w:jc w:val="both"/>
      </w:pPr>
      <w:r>
        <w:rPr>
          <w:rFonts w:ascii="Times New Roman"/>
          <w:b w:val="false"/>
          <w:i w:val="false"/>
          <w:color w:val="000000"/>
          <w:sz w:val="28"/>
        </w:rPr>
        <w:t>
      қарыз берешегінің, оның ішінде басқа кредиторлардың алдында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 тарихы);</w:t>
      </w:r>
    </w:p>
    <w:p>
      <w:pPr>
        <w:spacing w:after="0"/>
        <w:ind w:left="0"/>
        <w:jc w:val="both"/>
      </w:pPr>
      <w:r>
        <w:rPr>
          <w:rFonts w:ascii="Times New Roman"/>
          <w:b w:val="false"/>
          <w:i w:val="false"/>
          <w:color w:val="000000"/>
          <w:sz w:val="28"/>
        </w:rPr>
        <w:t>
      өтімді активтердің деңгейі;</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көздерінің болуы;</w:t>
      </w:r>
    </w:p>
    <w:p>
      <w:pPr>
        <w:spacing w:after="0"/>
        <w:ind w:left="0"/>
        <w:jc w:val="both"/>
      </w:pPr>
      <w:r>
        <w:rPr>
          <w:rFonts w:ascii="Times New Roman"/>
          <w:b w:val="false"/>
          <w:i w:val="false"/>
          <w:color w:val="000000"/>
          <w:sz w:val="28"/>
        </w:rPr>
        <w:t>
      болжамды бос ақша ағындары;</w:t>
      </w:r>
    </w:p>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операциялық қызметінің сипаттамалары, мысалы, қарыз алушының тиісті нарықтағы нарықтық үлесі, қарыз алушының өнімін көрсету,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табыс алу мен бағаларды ұстап тұру мүмкіндігіне ықпал ететін басқа да факторлар);</w:t>
      </w:r>
    </w:p>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p>
      <w:pPr>
        <w:spacing w:after="0"/>
        <w:ind w:left="0"/>
        <w:jc w:val="both"/>
      </w:pPr>
      <w:r>
        <w:rPr>
          <w:rFonts w:ascii="Times New Roman"/>
          <w:b w:val="false"/>
          <w:i w:val="false"/>
          <w:color w:val="000000"/>
          <w:sz w:val="28"/>
        </w:rPr>
        <w:t>
      қарыз алушының меншік иелерін бағалау;</w:t>
      </w:r>
    </w:p>
    <w:p>
      <w:pPr>
        <w:spacing w:after="0"/>
        <w:ind w:left="0"/>
        <w:jc w:val="both"/>
      </w:pPr>
      <w:r>
        <w:rPr>
          <w:rFonts w:ascii="Times New Roman"/>
          <w:b w:val="false"/>
          <w:i w:val="false"/>
          <w:color w:val="000000"/>
          <w:sz w:val="28"/>
        </w:rPr>
        <w:t>
      сот талқылауларына тартылу фактілерінің болуы;</w:t>
      </w:r>
    </w:p>
    <w:p>
      <w:pPr>
        <w:spacing w:after="0"/>
        <w:ind w:left="0"/>
        <w:jc w:val="both"/>
      </w:pPr>
      <w:r>
        <w:rPr>
          <w:rFonts w:ascii="Times New Roman"/>
          <w:b w:val="false"/>
          <w:i w:val="false"/>
          <w:color w:val="000000"/>
          <w:sz w:val="28"/>
        </w:rPr>
        <w:t>
      сенімсіз салық төлеушілер тізіміне енгізу.</w:t>
      </w:r>
    </w:p>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банктің мөлшері 100 (бір жүз) миллиард теңгеден асатын меншікті капиталының 0,1 (нөл бүтін оннан бір) пайызынан аспайтын немесе банктің мөлшері 100 (бір жүз) миллиард теңгеден аспайтын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оның ішінде басқа кредиторлардың алдындағы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де көздерінің болуы;</w:t>
      </w:r>
    </w:p>
    <w:p>
      <w:pPr>
        <w:spacing w:after="0"/>
        <w:ind w:left="0"/>
        <w:jc w:val="both"/>
      </w:pPr>
      <w:r>
        <w:rPr>
          <w:rFonts w:ascii="Times New Roman"/>
          <w:b w:val="false"/>
          <w:i w:val="false"/>
          <w:color w:val="000000"/>
          <w:sz w:val="28"/>
        </w:rPr>
        <w:t>
      тиісті саланы дамыту перспективалары.</w:t>
      </w:r>
    </w:p>
    <w:p>
      <w:pPr>
        <w:spacing w:after="0"/>
        <w:ind w:left="0"/>
        <w:jc w:val="both"/>
      </w:pPr>
      <w:r>
        <w:rPr>
          <w:rFonts w:ascii="Times New Roman"/>
          <w:b w:val="false"/>
          <w:i w:val="false"/>
          <w:color w:val="000000"/>
          <w:sz w:val="28"/>
        </w:rPr>
        <w:t>
      Кредиттеу саласына және қарыз алушының типіне қарай сандық және сапалық көрсеткіштер жиыны өзгеріп отырады.</w:t>
      </w:r>
    </w:p>
    <w:p>
      <w:pPr>
        <w:spacing w:after="0"/>
        <w:ind w:left="0"/>
        <w:jc w:val="both"/>
      </w:pPr>
      <w:r>
        <w:rPr>
          <w:rFonts w:ascii="Times New Roman"/>
          <w:b w:val="false"/>
          <w:i w:val="false"/>
          <w:color w:val="000000"/>
          <w:sz w:val="28"/>
        </w:rPr>
        <w:t>
      Жеке және заңды тұлғаларға қатысты кредиттік саясат олар болған кезде қарыз алушының кредиттік қабілеттілігіне талдау жүргізілмейтін жағдайларды айқындайды (банктік кепілдіктерді, аккредитивтерді, банктік қарсы кепілдікке шығарылған банктік кепілдіктерді, сондай-ақ жоғары өтімді активтермен қамтамасыз етілген қарыздарды беру). Қазақстан Республикасының Standard &amp; Poor's (Стандард энд Пурс) агенттігінің халықаралық шкаласы бойынша "А-" төмен емес шетел валютасында ұзақ мерзімді кредит рейтингі немесе басқа бір рейтингтік агенттіктердің осыған ұқсас деңгейдегі рейтингі бар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 қарыз алушының кредит алуға өтініші банкке түскен күннен бастап 12 (он екі) айдан кешіктірмей жүзеге асырылған жағдайда, қарыз алушының бас ұйымы деңгейінде немесе қарыз алушының шоғырландырылған қаржылық есептілігіне кіретін ұйымның ондай талдауын пайдалануға жол беріледі;</w:t>
      </w:r>
    </w:p>
    <w:p>
      <w:pPr>
        <w:spacing w:after="0"/>
        <w:ind w:left="0"/>
        <w:jc w:val="both"/>
      </w:pPr>
      <w:r>
        <w:rPr>
          <w:rFonts w:ascii="Times New Roman"/>
          <w:b w:val="false"/>
          <w:i w:val="false"/>
          <w:color w:val="000000"/>
          <w:sz w:val="28"/>
        </w:rPr>
        <w:t xml:space="preserve">
      қайта құрылымдау жүргізу туралы шешім қабылдаған кезде негізділік, мақсатқа лайықтылық және тәуелсіздік ұстанымдарына негізделген және қарыздарды қайта құрылымдау жағдайлары мен талаптарының сипаттамасын қамтитын қарыздарды қайта құрылымдауға қатысты кредиттік шешімдер қабылдаудың ішкі тәртібі. Банк қарыз алушының қайта құрылымдау жағдайлары мен түрлерін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(бұдан әрі – № 269 қаулысы) сәйкес айқындайды.</w:t>
      </w:r>
    </w:p>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есепке ала отырып, қарыздарды қайта құрылымдау туралы шешім қабылдайды.</w:t>
      </w:r>
    </w:p>
    <w:p>
      <w:pPr>
        <w:spacing w:after="0"/>
        <w:ind w:left="0"/>
        <w:jc w:val="both"/>
      </w:pPr>
      <w:r>
        <w:rPr>
          <w:rFonts w:ascii="Times New Roman"/>
          <w:b w:val="false"/>
          <w:i w:val="false"/>
          <w:color w:val="000000"/>
          <w:sz w:val="28"/>
        </w:rPr>
        <w:t xml:space="preserve">
      Шартты міндеттемелерді қоса алғанда, жалпы берешегі мөлшері 100 (жүз) миллиард теңгеден асатын банктің меншікті капиталынан 1 (бір) пайыздан асатын немесе мөлшері 100 (жүз) миллиард теңгеден аспайтын банктің меншікті капиталынан 2 (екі) пайыздан асатын, қарыз алушылардың және (немесе) бір-бірімен байланысқан қарыз алушылар тобының қарыздарына № 269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мәжбүрлі қайта құрылымдау жүргізу туралы шешімді банк басқармасы немесе құрамына банк басқармасының төрағасы кіретін банктің алқалы органы қабылдайды. Қабылданған шешімдер туралы ақпарат тоқсан сайын банктің директорлар кеңесінің мүшелеріне жіберіледі;</w:t>
      </w:r>
    </w:p>
    <w:p>
      <w:pPr>
        <w:spacing w:after="0"/>
        <w:ind w:left="0"/>
        <w:jc w:val="both"/>
      </w:pPr>
      <w:r>
        <w:rPr>
          <w:rFonts w:ascii="Times New Roman"/>
          <w:b w:val="false"/>
          <w:i w:val="false"/>
          <w:color w:val="000000"/>
          <w:sz w:val="28"/>
        </w:rPr>
        <w:t>
      мынадай факторларды есепке ала отырып (бірақ олармен шектелмей) кредиттік тәуекелді басқарудың тиімді тәсілдері:</w:t>
      </w:r>
    </w:p>
    <w:p>
      <w:pPr>
        <w:spacing w:after="0"/>
        <w:ind w:left="0"/>
        <w:jc w:val="both"/>
      </w:pPr>
      <w:r>
        <w:rPr>
          <w:rFonts w:ascii="Times New Roman"/>
          <w:b w:val="false"/>
          <w:i w:val="false"/>
          <w:color w:val="000000"/>
          <w:sz w:val="28"/>
        </w:rPr>
        <w:t>
      тәсілді пайдаланған кезде өз білімі мен тәжірибесінің болуы;</w:t>
      </w:r>
    </w:p>
    <w:p>
      <w:pPr>
        <w:spacing w:after="0"/>
        <w:ind w:left="0"/>
        <w:jc w:val="both"/>
      </w:pPr>
      <w:r>
        <w:rPr>
          <w:rFonts w:ascii="Times New Roman"/>
          <w:b w:val="false"/>
          <w:i w:val="false"/>
          <w:color w:val="000000"/>
          <w:sz w:val="28"/>
        </w:rPr>
        <w:t>
      экономикалық тиімділігі;</w:t>
      </w:r>
    </w:p>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p>
      <w:pPr>
        <w:spacing w:after="0"/>
        <w:ind w:left="0"/>
        <w:jc w:val="both"/>
      </w:pPr>
      <w:r>
        <w:rPr>
          <w:rFonts w:ascii="Times New Roman"/>
          <w:b w:val="false"/>
          <w:i w:val="false"/>
          <w:color w:val="000000"/>
          <w:sz w:val="28"/>
        </w:rPr>
        <w:t>
      кредиттеудің сол немесе өзге түріне тән тәуекелдің күрделілігі және дәрежесі;</w:t>
      </w:r>
    </w:p>
    <w:p>
      <w:pPr>
        <w:spacing w:after="0"/>
        <w:ind w:left="0"/>
        <w:jc w:val="both"/>
      </w:pPr>
      <w:r>
        <w:rPr>
          <w:rFonts w:ascii="Times New Roman"/>
          <w:b w:val="false"/>
          <w:i w:val="false"/>
          <w:color w:val="000000"/>
          <w:sz w:val="28"/>
        </w:rPr>
        <w:t>
      3) банк кредиттік қызметін оларға кредиттік тәуекел тән операцияларды жүргізуді реттейтін ішкі құжаттарға сәйкес жүзеге асырады, оларға мыналар кіреді, бірақ онымен шектелмейді:</w:t>
      </w:r>
    </w:p>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кредиттеудің әрбір түрі бойынша жеке және заңды тұлғаларға (оның ішінде банкпен ерекше қатынастармен байланысты тұлғаларға және банк қызметкерлеріне) кредит беру талаптары;</w:t>
      </w:r>
    </w:p>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p>
      <w:pPr>
        <w:spacing w:after="0"/>
        <w:ind w:left="0"/>
        <w:jc w:val="both"/>
      </w:pPr>
      <w:r>
        <w:rPr>
          <w:rFonts w:ascii="Times New Roman"/>
          <w:b w:val="false"/>
          <w:i w:val="false"/>
          <w:color w:val="000000"/>
          <w:sz w:val="28"/>
        </w:rPr>
        <w:t>
      кредиттеу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кредиттеудің ішкі тәртібі;</w:t>
      </w:r>
    </w:p>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 ішкі тәртібі;</w:t>
      </w:r>
    </w:p>
    <w:p>
      <w:pPr>
        <w:spacing w:after="0"/>
        <w:ind w:left="0"/>
        <w:jc w:val="both"/>
      </w:pPr>
      <w:r>
        <w:rPr>
          <w:rFonts w:ascii="Times New Roman"/>
          <w:b w:val="false"/>
          <w:i w:val="false"/>
          <w:color w:val="000000"/>
          <w:sz w:val="28"/>
        </w:rPr>
        <w:t>
      оған сәйкес кредит берілетін рейтингтің мүмкін болатын ең төменгі деңгейін белгілеу (бар болса);</w:t>
      </w:r>
    </w:p>
    <w:p>
      <w:pPr>
        <w:spacing w:after="0"/>
        <w:ind w:left="0"/>
        <w:jc w:val="both"/>
      </w:pPr>
      <w:r>
        <w:rPr>
          <w:rFonts w:ascii="Times New Roman"/>
          <w:b w:val="false"/>
          <w:i w:val="false"/>
          <w:color w:val="000000"/>
          <w:sz w:val="28"/>
        </w:rPr>
        <w:t>
      кредиттік саясаттан, стандарттардан, процедуралардан, лимиттерден ауытқу мониторингін мақұлдау, бекіту және талдау ішкі тәртібі және процедуралары;</w:t>
      </w:r>
    </w:p>
    <w:p>
      <w:pPr>
        <w:spacing w:after="0"/>
        <w:ind w:left="0"/>
        <w:jc w:val="both"/>
      </w:pPr>
      <w:r>
        <w:rPr>
          <w:rFonts w:ascii="Times New Roman"/>
          <w:b w:val="false"/>
          <w:i w:val="false"/>
          <w:color w:val="000000"/>
          <w:sz w:val="28"/>
        </w:rPr>
        <w:t>
      кредиттеу лимиттерін және (немесе) қарыз алушыларды талдауды ескерумен, оның ішінде бар болса, қарыз алушылардың рейтингтерін және (немесе) скорингтік бағалауын есепке ала отырып кредиттер бойынша сыйақы мөлшерлемелерін белгілеу. Кредиттеу лимиттері, оның ішінде кепілсіз кредиттер бойынша кредиттеу лимиттері валюталар, салалар, қарыз алушылардың (контрагенттердің) санаттары (қаржы ұйымдары, корпоративтік, жеке кредиттеу), өнімдер, байланысқан тараптардың топтары бойынша және бір қарыз алушыға белгіленеді;</w:t>
      </w:r>
    </w:p>
    <w:p>
      <w:pPr>
        <w:spacing w:after="0"/>
        <w:ind w:left="0"/>
        <w:jc w:val="both"/>
      </w:pPr>
      <w:r>
        <w:rPr>
          <w:rFonts w:ascii="Times New Roman"/>
          <w:b w:val="false"/>
          <w:i w:val="false"/>
          <w:color w:val="000000"/>
          <w:sz w:val="28"/>
        </w:rPr>
        <w:t>
      кредит беру туралы өтініштерді қарау, мақұлдау, беру (беруден бас тарту) туралы шешімдер қабылдау ішкі тәртібі, оның ішінде банкпен ерекше қатынастармен байланысты тұлғаларды кредиттеуге қатысты;</w:t>
      </w:r>
    </w:p>
    <w:p>
      <w:pPr>
        <w:spacing w:after="0"/>
        <w:ind w:left="0"/>
        <w:jc w:val="both"/>
      </w:pPr>
      <w:r>
        <w:rPr>
          <w:rFonts w:ascii="Times New Roman"/>
          <w:b w:val="false"/>
          <w:i w:val="false"/>
          <w:color w:val="000000"/>
          <w:sz w:val="28"/>
        </w:rPr>
        <w:t>
      кепілдік қамтамасыз етуге қатысты, мыналарды айқындайтын ішкі тәртіп:</w:t>
      </w:r>
    </w:p>
    <w:p>
      <w:pPr>
        <w:spacing w:after="0"/>
        <w:ind w:left="0"/>
        <w:jc w:val="both"/>
      </w:pPr>
      <w:r>
        <w:rPr>
          <w:rFonts w:ascii="Times New Roman"/>
          <w:b w:val="false"/>
          <w:i w:val="false"/>
          <w:color w:val="000000"/>
          <w:sz w:val="28"/>
        </w:rPr>
        <w:t>
      кепіл түрлері және олардың жарамдылық өлшемшарттары;</w:t>
      </w:r>
    </w:p>
    <w:p>
      <w:pPr>
        <w:spacing w:after="0"/>
        <w:ind w:left="0"/>
        <w:jc w:val="both"/>
      </w:pPr>
      <w:r>
        <w:rPr>
          <w:rFonts w:ascii="Times New Roman"/>
          <w:b w:val="false"/>
          <w:i w:val="false"/>
          <w:color w:val="000000"/>
          <w:sz w:val="28"/>
        </w:rPr>
        <w:t>
      кепілдің құрылымына қойылатын талаптар;</w:t>
      </w:r>
    </w:p>
    <w:p>
      <w:pPr>
        <w:spacing w:after="0"/>
        <w:ind w:left="0"/>
        <w:jc w:val="both"/>
      </w:pPr>
      <w:r>
        <w:rPr>
          <w:rFonts w:ascii="Times New Roman"/>
          <w:b w:val="false"/>
          <w:i w:val="false"/>
          <w:color w:val="000000"/>
          <w:sz w:val="28"/>
        </w:rPr>
        <w:t>
      кепіл түрлері бойынша лимиттер;</w:t>
      </w:r>
    </w:p>
    <w:p>
      <w:pPr>
        <w:spacing w:after="0"/>
        <w:ind w:left="0"/>
        <w:jc w:val="both"/>
      </w:pPr>
      <w:r>
        <w:rPr>
          <w:rFonts w:ascii="Times New Roman"/>
          <w:b w:val="false"/>
          <w:i w:val="false"/>
          <w:color w:val="000000"/>
          <w:sz w:val="28"/>
        </w:rPr>
        <w:t>
      қамтамасыз етудің жалпы құрылымындағы жоғары өтімді кепіл үлесі, қарыз сомасының кепіл құнына қатынасын сипаттайтын коэффициенті;</w:t>
      </w:r>
    </w:p>
    <w:p>
      <w:pPr>
        <w:spacing w:after="0"/>
        <w:ind w:left="0"/>
        <w:jc w:val="both"/>
      </w:pPr>
      <w:r>
        <w:rPr>
          <w:rFonts w:ascii="Times New Roman"/>
          <w:b w:val="false"/>
          <w:i w:val="false"/>
          <w:color w:val="000000"/>
          <w:sz w:val="28"/>
        </w:rPr>
        <w:t>
      кепілдердің заңды күшін қамтамасыз ететін рәсімдер;</w:t>
      </w:r>
    </w:p>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p>
      <w:pPr>
        <w:spacing w:after="0"/>
        <w:ind w:left="0"/>
        <w:jc w:val="both"/>
      </w:pPr>
      <w:r>
        <w:rPr>
          <w:rFonts w:ascii="Times New Roman"/>
          <w:b w:val="false"/>
          <w:i w:val="false"/>
          <w:color w:val="000000"/>
          <w:sz w:val="28"/>
        </w:rPr>
        <w:t>
      іске асырудың шекті мерзімдерін қоса алғанда кепілдік қамтамасыз етуді іске асыру рәсімдері;</w:t>
      </w:r>
    </w:p>
    <w:p>
      <w:pPr>
        <w:spacing w:after="0"/>
        <w:ind w:left="0"/>
        <w:jc w:val="both"/>
      </w:pPr>
      <w:r>
        <w:rPr>
          <w:rFonts w:ascii="Times New Roman"/>
          <w:b w:val="false"/>
          <w:i w:val="false"/>
          <w:color w:val="000000"/>
          <w:sz w:val="28"/>
        </w:rPr>
        <w:t>
      егер қарыз алушыға берілген қарыздар мен шартты міндеттемелердің жиынтық сомасы банктің меншікті капиталының 0,1 (нөл бүтін оннан бір) пайызынан аспайтын болса және бағалау объектісі республикалық маңызы бар қалалардағы және облыс орталықтары болып табылатын қалалардағы жылжымайтын мүлігі болып табылатын жағдайын қоспағанда бағалаушылар тарапынан кепілдік қамтамасыз етудің құнын бағалаудың объективтілігі (барабарлығы).</w:t>
      </w:r>
    </w:p>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p>
      <w:pPr>
        <w:spacing w:after="0"/>
        <w:ind w:left="0"/>
        <w:jc w:val="both"/>
      </w:pPr>
      <w:r>
        <w:rPr>
          <w:rFonts w:ascii="Times New Roman"/>
          <w:b w:val="false"/>
          <w:i w:val="false"/>
          <w:color w:val="000000"/>
          <w:sz w:val="28"/>
        </w:rPr>
        <w:t>
      объектінің типі және (немесе) кіші түрі;</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объектінің жалпы ауданы;</w:t>
      </w:r>
    </w:p>
    <w:p>
      <w:pPr>
        <w:spacing w:after="0"/>
        <w:ind w:left="0"/>
        <w:jc w:val="both"/>
      </w:pPr>
      <w:r>
        <w:rPr>
          <w:rFonts w:ascii="Times New Roman"/>
          <w:b w:val="false"/>
          <w:i w:val="false"/>
          <w:color w:val="000000"/>
          <w:sz w:val="28"/>
        </w:rPr>
        <w:t>
      үй-жайлардың жай-күйі, бағалау объектісінің сыртқы жай-күйі;</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объектінің өзге де техникалық сипаттамалары.</w:t>
      </w:r>
    </w:p>
    <w:p>
      <w:pPr>
        <w:spacing w:after="0"/>
        <w:ind w:left="0"/>
        <w:jc w:val="both"/>
      </w:pPr>
      <w:r>
        <w:rPr>
          <w:rFonts w:ascii="Times New Roman"/>
          <w:b w:val="false"/>
          <w:i w:val="false"/>
          <w:color w:val="000000"/>
          <w:sz w:val="28"/>
        </w:rPr>
        <w:t xml:space="preserve">
      Қабылданған шешімдерді белгіленген ішкі тәртіпке сәйкестігі тұрғысынан бағалау Қағидалардың </w:t>
      </w:r>
      <w:r>
        <w:rPr>
          <w:rFonts w:ascii="Times New Roman"/>
          <w:b w:val="false"/>
          <w:i w:val="false"/>
          <w:color w:val="000000"/>
          <w:sz w:val="28"/>
        </w:rPr>
        <w:t>11-тарауының</w:t>
      </w:r>
      <w:r>
        <w:rPr>
          <w:rFonts w:ascii="Times New Roman"/>
          <w:b w:val="false"/>
          <w:i w:val="false"/>
          <w:color w:val="000000"/>
          <w:sz w:val="28"/>
        </w:rPr>
        <w:t xml:space="preserve">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p>
      <w:pPr>
        <w:spacing w:after="0"/>
        <w:ind w:left="0"/>
        <w:jc w:val="both"/>
      </w:pPr>
      <w:r>
        <w:rPr>
          <w:rFonts w:ascii="Times New Roman"/>
          <w:b w:val="false"/>
          <w:i w:val="false"/>
          <w:color w:val="000000"/>
          <w:sz w:val="28"/>
        </w:rPr>
        <w:t>
      Банк мыналарды:</w:t>
      </w:r>
    </w:p>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 немесе ЖСН-нің нақты көрсетілуі;</w:t>
      </w:r>
    </w:p>
    <w:p>
      <w:pPr>
        <w:spacing w:after="0"/>
        <w:ind w:left="0"/>
        <w:jc w:val="both"/>
      </w:pPr>
      <w:r>
        <w:rPr>
          <w:rFonts w:ascii="Times New Roman"/>
          <w:b w:val="false"/>
          <w:i w:val="false"/>
          <w:color w:val="000000"/>
          <w:sz w:val="28"/>
        </w:rPr>
        <w:t>
      кепілмен қамтамасыз етудің түрі мен кіші түрі;</w:t>
      </w:r>
    </w:p>
    <w:p>
      <w:pPr>
        <w:spacing w:after="0"/>
        <w:ind w:left="0"/>
        <w:jc w:val="both"/>
      </w:pPr>
      <w:r>
        <w:rPr>
          <w:rFonts w:ascii="Times New Roman"/>
          <w:b w:val="false"/>
          <w:i w:val="false"/>
          <w:color w:val="000000"/>
          <w:sz w:val="28"/>
        </w:rPr>
        <w:t>
      бағалау объектісінің кадастрлық нөмірі (егер қолданылса);</w:t>
      </w:r>
    </w:p>
    <w:p>
      <w:pPr>
        <w:spacing w:after="0"/>
        <w:ind w:left="0"/>
        <w:jc w:val="both"/>
      </w:pPr>
      <w:r>
        <w:rPr>
          <w:rFonts w:ascii="Times New Roman"/>
          <w:b w:val="false"/>
          <w:i w:val="false"/>
          <w:color w:val="000000"/>
          <w:sz w:val="28"/>
        </w:rPr>
        <w:t>
      бағалау объектісінің орналасқан жері (елі, өңірі, мекенжайы);</w:t>
      </w:r>
    </w:p>
    <w:p>
      <w:pPr>
        <w:spacing w:after="0"/>
        <w:ind w:left="0"/>
        <w:jc w:val="both"/>
      </w:pPr>
      <w:r>
        <w:rPr>
          <w:rFonts w:ascii="Times New Roman"/>
          <w:b w:val="false"/>
          <w:i w:val="false"/>
          <w:color w:val="000000"/>
          <w:sz w:val="28"/>
        </w:rPr>
        <w:t>
      банк жүйесінде кепіл шартын тоқтатудың күні;</w:t>
      </w:r>
    </w:p>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p>
      <w:pPr>
        <w:spacing w:after="0"/>
        <w:ind w:left="0"/>
        <w:jc w:val="both"/>
      </w:pPr>
      <w:r>
        <w:rPr>
          <w:rFonts w:ascii="Times New Roman"/>
          <w:b w:val="false"/>
          <w:i w:val="false"/>
          <w:color w:val="000000"/>
          <w:sz w:val="28"/>
        </w:rPr>
        <w:t xml:space="preserve">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 269 </w:t>
      </w:r>
      <w:r>
        <w:rPr>
          <w:rFonts w:ascii="Times New Roman"/>
          <w:b w:val="false"/>
          <w:i w:val="false"/>
          <w:color w:val="000000"/>
          <w:sz w:val="28"/>
        </w:rPr>
        <w:t>қаулысына</w:t>
      </w:r>
      <w:r>
        <w:rPr>
          <w:rFonts w:ascii="Times New Roman"/>
          <w:b w:val="false"/>
          <w:i w:val="false"/>
          <w:color w:val="000000"/>
          <w:sz w:val="28"/>
        </w:rPr>
        <w:t xml:space="preserve">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p>
      <w:pPr>
        <w:spacing w:after="0"/>
        <w:ind w:left="0"/>
        <w:jc w:val="both"/>
      </w:pPr>
      <w:r>
        <w:rPr>
          <w:rFonts w:ascii="Times New Roman"/>
          <w:b w:val="false"/>
          <w:i w:val="false"/>
          <w:color w:val="000000"/>
          <w:sz w:val="28"/>
        </w:rPr>
        <w:t>
      бағалау объектісінің ауыртпалық белгісі;</w:t>
      </w:r>
    </w:p>
    <w:p>
      <w:pPr>
        <w:spacing w:after="0"/>
        <w:ind w:left="0"/>
        <w:jc w:val="both"/>
      </w:pPr>
      <w:r>
        <w:rPr>
          <w:rFonts w:ascii="Times New Roman"/>
          <w:b w:val="false"/>
          <w:i w:val="false"/>
          <w:color w:val="000000"/>
          <w:sz w:val="28"/>
        </w:rPr>
        <w:t>
      бағалау объектісінің ауыртпалық кезектілігі;</w:t>
      </w:r>
    </w:p>
    <w:p>
      <w:pPr>
        <w:spacing w:after="0"/>
        <w:ind w:left="0"/>
        <w:jc w:val="both"/>
      </w:pPr>
      <w:r>
        <w:rPr>
          <w:rFonts w:ascii="Times New Roman"/>
          <w:b w:val="false"/>
          <w:i w:val="false"/>
          <w:color w:val="000000"/>
          <w:sz w:val="28"/>
        </w:rPr>
        <w:t>
      кепіл беруші, кепілдік беруші, кепілгер, сақтандырушы (заңды немесе жеке тұлға, атауы, бірегей сәйкестендіруші) туралы мәліметтер;</w:t>
      </w:r>
    </w:p>
    <w:p>
      <w:pPr>
        <w:spacing w:after="0"/>
        <w:ind w:left="0"/>
        <w:jc w:val="both"/>
      </w:pPr>
      <w:r>
        <w:rPr>
          <w:rFonts w:ascii="Times New Roman"/>
          <w:b w:val="false"/>
          <w:i w:val="false"/>
          <w:color w:val="000000"/>
          <w:sz w:val="28"/>
        </w:rPr>
        <w:t>
      бағалау объектісіне ауыртпалықтың болуын растау күні;</w:t>
      </w:r>
    </w:p>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p>
      <w:pPr>
        <w:spacing w:after="0"/>
        <w:ind w:left="0"/>
        <w:jc w:val="both"/>
      </w:pPr>
      <w:r>
        <w:rPr>
          <w:rFonts w:ascii="Times New Roman"/>
          <w:b w:val="false"/>
          <w:i w:val="false"/>
          <w:color w:val="000000"/>
          <w:sz w:val="28"/>
        </w:rPr>
        <w:t>
      кепілмен қамтамасыз етуді бағалау тәсілі;</w:t>
      </w:r>
    </w:p>
    <w:p>
      <w:pPr>
        <w:spacing w:after="0"/>
        <w:ind w:left="0"/>
        <w:jc w:val="both"/>
      </w:pPr>
      <w:r>
        <w:rPr>
          <w:rFonts w:ascii="Times New Roman"/>
          <w:b w:val="false"/>
          <w:i w:val="false"/>
          <w:color w:val="000000"/>
          <w:sz w:val="28"/>
        </w:rPr>
        <w:t>
      пайдаланылатын аудан бірлігі;</w:t>
      </w:r>
    </w:p>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p>
      <w:pPr>
        <w:spacing w:after="0"/>
        <w:ind w:left="0"/>
        <w:jc w:val="both"/>
      </w:pPr>
      <w:r>
        <w:rPr>
          <w:rFonts w:ascii="Times New Roman"/>
          <w:b w:val="false"/>
          <w:i w:val="false"/>
          <w:color w:val="000000"/>
          <w:sz w:val="28"/>
        </w:rPr>
        <w:t>
      Активтерді жан-жақты талдауда:</w:t>
      </w:r>
    </w:p>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p>
      <w:pPr>
        <w:spacing w:after="0"/>
        <w:ind w:left="0"/>
        <w:jc w:val="both"/>
      </w:pPr>
      <w:r>
        <w:rPr>
          <w:rFonts w:ascii="Times New Roman"/>
          <w:b w:val="false"/>
          <w:i w:val="false"/>
          <w:color w:val="000000"/>
          <w:sz w:val="28"/>
        </w:rPr>
        <w:t>
      дефолтқа ұшырайтын міндеттемелер шамасын (EAD);</w:t>
      </w:r>
    </w:p>
    <w:p>
      <w:pPr>
        <w:spacing w:after="0"/>
        <w:ind w:left="0"/>
        <w:jc w:val="both"/>
      </w:pPr>
      <w:r>
        <w:rPr>
          <w:rFonts w:ascii="Times New Roman"/>
          <w:b w:val="false"/>
          <w:i w:val="false"/>
          <w:color w:val="000000"/>
          <w:sz w:val="28"/>
        </w:rPr>
        <w:t>
      тәуекел бойынша позиция сақталатын мерзім ішінде;</w:t>
      </w:r>
    </w:p>
    <w:p>
      <w:pPr>
        <w:spacing w:after="0"/>
        <w:ind w:left="0"/>
        <w:jc w:val="both"/>
      </w:pPr>
      <w:r>
        <w:rPr>
          <w:rFonts w:ascii="Times New Roman"/>
          <w:b w:val="false"/>
          <w:i w:val="false"/>
          <w:color w:val="000000"/>
          <w:sz w:val="28"/>
        </w:rPr>
        <w:t>
      кепілді қамтамасыз ету құнын және оны өткізу мүмкіндігін;</w:t>
      </w:r>
    </w:p>
    <w:p>
      <w:pPr>
        <w:spacing w:after="0"/>
        <w:ind w:left="0"/>
        <w:jc w:val="both"/>
      </w:pPr>
      <w:r>
        <w:rPr>
          <w:rFonts w:ascii="Times New Roman"/>
          <w:b w:val="false"/>
          <w:i w:val="false"/>
          <w:color w:val="000000"/>
          <w:sz w:val="28"/>
        </w:rPr>
        <w:t>
      бизнес-ортаны және экономикалық жағдайларды бағалау қамтылады.</w:t>
      </w:r>
    </w:p>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p>
      <w:pPr>
        <w:spacing w:after="0"/>
        <w:ind w:left="0"/>
        <w:jc w:val="both"/>
      </w:pPr>
      <w:r>
        <w:rPr>
          <w:rFonts w:ascii="Times New Roman"/>
          <w:b w:val="false"/>
          <w:i w:val="false"/>
          <w:color w:val="000000"/>
          <w:sz w:val="28"/>
        </w:rPr>
        <w:t>
      6) Проблемалық активтерді басқару саясатының болуы.</w:t>
      </w:r>
    </w:p>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p>
      <w:pPr>
        <w:spacing w:after="0"/>
        <w:ind w:left="0"/>
        <w:jc w:val="both"/>
      </w:pPr>
      <w:r>
        <w:rPr>
          <w:rFonts w:ascii="Times New Roman"/>
          <w:b w:val="false"/>
          <w:i w:val="false"/>
          <w:color w:val="000000"/>
          <w:sz w:val="28"/>
        </w:rPr>
        <w:t>
      проблемалық активтердің анықтамасы;</w:t>
      </w:r>
    </w:p>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p>
      <w:pPr>
        <w:spacing w:after="0"/>
        <w:ind w:left="0"/>
        <w:jc w:val="both"/>
      </w:pPr>
      <w:r>
        <w:rPr>
          <w:rFonts w:ascii="Times New Roman"/>
          <w:b w:val="false"/>
          <w:i w:val="false"/>
          <w:color w:val="000000"/>
          <w:sz w:val="28"/>
        </w:rPr>
        <w:t>
      7) провизияларды қалыптастырудың сенімді әдістемесінің болуы.</w:t>
      </w:r>
    </w:p>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p>
      <w:pPr>
        <w:spacing w:after="0"/>
        <w:ind w:left="0"/>
        <w:jc w:val="both"/>
      </w:pPr>
      <w:r>
        <w:rPr>
          <w:rFonts w:ascii="Times New Roman"/>
          <w:b w:val="false"/>
          <w:i w:val="false"/>
          <w:color w:val="000000"/>
          <w:sz w:val="28"/>
        </w:rPr>
        <w:t>
      кредиттік құнсыздануды анықтау;</w:t>
      </w:r>
    </w:p>
    <w:p>
      <w:pPr>
        <w:spacing w:after="0"/>
        <w:ind w:left="0"/>
        <w:jc w:val="both"/>
      </w:pPr>
      <w:r>
        <w:rPr>
          <w:rFonts w:ascii="Times New Roman"/>
          <w:b w:val="false"/>
          <w:i w:val="false"/>
          <w:color w:val="000000"/>
          <w:sz w:val="28"/>
        </w:rPr>
        <w:t>
      пайдаланылатын деректердің сапасы, маңыздылығы және көлемі;</w:t>
      </w:r>
    </w:p>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p>
      <w:pPr>
        <w:spacing w:after="0"/>
        <w:ind w:left="0"/>
        <w:jc w:val="both"/>
      </w:pPr>
      <w:r>
        <w:rPr>
          <w:rFonts w:ascii="Times New Roman"/>
          <w:b w:val="false"/>
          <w:i w:val="false"/>
          <w:color w:val="000000"/>
          <w:sz w:val="28"/>
        </w:rPr>
        <w:t>
      қаржылық кепілдіктер бойынша PD моделін есептеу;</w:t>
      </w:r>
    </w:p>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p>
      <w:pPr>
        <w:spacing w:after="0"/>
        <w:ind w:left="0"/>
        <w:jc w:val="both"/>
      </w:pPr>
      <w:r>
        <w:rPr>
          <w:rFonts w:ascii="Times New Roman"/>
          <w:b w:val="false"/>
          <w:i w:val="false"/>
          <w:color w:val="000000"/>
          <w:sz w:val="28"/>
        </w:rPr>
        <w:t>
      Модельді әзірлеу шеңберінде:</w:t>
      </w:r>
    </w:p>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p>
      <w:pPr>
        <w:spacing w:after="0"/>
        <w:ind w:left="0"/>
        <w:jc w:val="both"/>
      </w:pPr>
      <w:r>
        <w:rPr>
          <w:rFonts w:ascii="Times New Roman"/>
          <w:b w:val="false"/>
          <w:i w:val="false"/>
          <w:color w:val="000000"/>
          <w:sz w:val="28"/>
        </w:rPr>
        <w:t>
      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p>
      <w:pPr>
        <w:spacing w:after="0"/>
        <w:ind w:left="0"/>
        <w:jc w:val="both"/>
      </w:pPr>
      <w:r>
        <w:rPr>
          <w:rFonts w:ascii="Times New Roman"/>
          <w:b w:val="false"/>
          <w:i w:val="false"/>
          <w:color w:val="000000"/>
          <w:sz w:val="28"/>
        </w:rPr>
        <w:t>
      SPPI тесттен өту немесе өтпеу нәтижелері;</w:t>
      </w:r>
    </w:p>
    <w:p>
      <w:pPr>
        <w:spacing w:after="0"/>
        <w:ind w:left="0"/>
        <w:jc w:val="both"/>
      </w:pPr>
      <w:r>
        <w:rPr>
          <w:rFonts w:ascii="Times New Roman"/>
          <w:b w:val="false"/>
          <w:i w:val="false"/>
          <w:color w:val="000000"/>
          <w:sz w:val="28"/>
        </w:rPr>
        <w:t>
      9 ХҚЕС-ке сәйкес қаржы құралын жіктеу;</w:t>
      </w:r>
    </w:p>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p>
      <w:pPr>
        <w:spacing w:after="0"/>
        <w:ind w:left="0"/>
        <w:jc w:val="both"/>
      </w:pPr>
      <w:r>
        <w:rPr>
          <w:rFonts w:ascii="Times New Roman"/>
          <w:b w:val="false"/>
          <w:i w:val="false"/>
          <w:color w:val="000000"/>
          <w:sz w:val="28"/>
        </w:rPr>
        <w:t>
      қарыз алушының құнсыздану сатысы;</w:t>
      </w:r>
    </w:p>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қайтарым деңгейлері (міндеттемелердің сомасы бойынша - сауығуды ескере отырып және сауығуды есепке алмай) абсолюттік және пайыздық көрсеткіштерде;</w:t>
      </w:r>
    </w:p>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p>
      <w:pPr>
        <w:spacing w:after="0"/>
        <w:ind w:left="0"/>
        <w:jc w:val="both"/>
      </w:pPr>
      <w:r>
        <w:rPr>
          <w:rFonts w:ascii="Times New Roman"/>
          <w:b w:val="false"/>
          <w:i w:val="false"/>
          <w:color w:val="000000"/>
          <w:sz w:val="28"/>
        </w:rPr>
        <w:t>
      сауығу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конверсия коэффициенттері;</w:t>
      </w:r>
    </w:p>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субъектінің кәсіпкерлік санатына жататындығының белгісі;</w:t>
      </w:r>
    </w:p>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p>
      <w:pPr>
        <w:spacing w:after="0"/>
        <w:ind w:left="0"/>
        <w:jc w:val="both"/>
      </w:pPr>
      <w:r>
        <w:rPr>
          <w:rFonts w:ascii="Times New Roman"/>
          <w:b w:val="false"/>
          <w:i w:val="false"/>
          <w:color w:val="000000"/>
          <w:sz w:val="28"/>
        </w:rPr>
        <w:t>
      Валидация бір немесе бірнеше мына әдістер:</w:t>
      </w:r>
    </w:p>
    <w:p>
      <w:pPr>
        <w:spacing w:after="0"/>
        <w:ind w:left="0"/>
        <w:jc w:val="both"/>
      </w:pPr>
      <w:r>
        <w:rPr>
          <w:rFonts w:ascii="Times New Roman"/>
          <w:b w:val="false"/>
          <w:i w:val="false"/>
          <w:color w:val="000000"/>
          <w:sz w:val="28"/>
        </w:rPr>
        <w:t>
      модельдің кемсітушілік қабілетін тексеру;</w:t>
      </w:r>
    </w:p>
    <w:p>
      <w:pPr>
        <w:spacing w:after="0"/>
        <w:ind w:left="0"/>
        <w:jc w:val="both"/>
      </w:pPr>
      <w:r>
        <w:rPr>
          <w:rFonts w:ascii="Times New Roman"/>
          <w:b w:val="false"/>
          <w:i w:val="false"/>
          <w:color w:val="000000"/>
          <w:sz w:val="28"/>
        </w:rPr>
        <w:t>
      модельдің болжамды дәлдігін бағалау;</w:t>
      </w:r>
    </w:p>
    <w:p>
      <w:pPr>
        <w:spacing w:after="0"/>
        <w:ind w:left="0"/>
        <w:jc w:val="both"/>
      </w:pPr>
      <w:r>
        <w:rPr>
          <w:rFonts w:ascii="Times New Roman"/>
          <w:b w:val="false"/>
          <w:i w:val="false"/>
          <w:color w:val="000000"/>
          <w:sz w:val="28"/>
        </w:rPr>
        <w:t>
      рейтингтердің ауысуын талдау;</w:t>
      </w:r>
    </w:p>
    <w:p>
      <w:pPr>
        <w:spacing w:after="0"/>
        <w:ind w:left="0"/>
        <w:jc w:val="both"/>
      </w:pPr>
      <w:r>
        <w:rPr>
          <w:rFonts w:ascii="Times New Roman"/>
          <w:b w:val="false"/>
          <w:i w:val="false"/>
          <w:color w:val="000000"/>
          <w:sz w:val="28"/>
        </w:rPr>
        <w:t>
      рейтингтерді салыстырмалы талдау арқылы жүзеге асырылады.</w:t>
      </w:r>
    </w:p>
    <w:p>
      <w:pPr>
        <w:spacing w:after="0"/>
        <w:ind w:left="0"/>
        <w:jc w:val="both"/>
      </w:pPr>
      <w:r>
        <w:rPr>
          <w:rFonts w:ascii="Times New Roman"/>
          <w:b w:val="false"/>
          <w:i w:val="false"/>
          <w:color w:val="000000"/>
          <w:sz w:val="28"/>
        </w:rPr>
        <w:t>
      Валидацияны 4 (төрт)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p>
      <w:pPr>
        <w:spacing w:after="0"/>
        <w:ind w:left="0"/>
        <w:jc w:val="both"/>
      </w:pPr>
      <w:r>
        <w:rPr>
          <w:rFonts w:ascii="Times New Roman"/>
          <w:b w:val="false"/>
          <w:i w:val="false"/>
          <w:color w:val="000000"/>
          <w:sz w:val="28"/>
        </w:rPr>
        <w:t>
      модельдің реттеуші талаптарға сәйкестігін тексеру;</w:t>
      </w:r>
    </w:p>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модельдерді әзірлеу кезінде жеткілікті ұзындықтың уақыт кезеңі пайдаланылғанына көз жеткізу қажет;</w:t>
      </w:r>
    </w:p>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p>
      <w:pPr>
        <w:spacing w:after="0"/>
        <w:ind w:left="0"/>
        <w:jc w:val="both"/>
      </w:pPr>
      <w:r>
        <w:rPr>
          <w:rFonts w:ascii="Times New Roman"/>
          <w:b w:val="false"/>
          <w:i w:val="false"/>
          <w:color w:val="000000"/>
          <w:sz w:val="28"/>
        </w:rPr>
        <w:t>
      нарықтың жаңа сегменттері және өнімдері пайда болуымен;</w:t>
      </w:r>
    </w:p>
    <w:p>
      <w:pPr>
        <w:spacing w:after="0"/>
        <w:ind w:left="0"/>
        <w:jc w:val="both"/>
      </w:pPr>
      <w:r>
        <w:rPr>
          <w:rFonts w:ascii="Times New Roman"/>
          <w:b w:val="false"/>
          <w:i w:val="false"/>
          <w:color w:val="000000"/>
          <w:sz w:val="28"/>
        </w:rPr>
        <w:t>
      кредиттік тәуекел шоғырлануының өзгерісімен толықтырылады;</w:t>
      </w:r>
    </w:p>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p>
      <w:pPr>
        <w:spacing w:after="0"/>
        <w:ind w:left="0"/>
        <w:jc w:val="both"/>
      </w:pPr>
      <w:r>
        <w:rPr>
          <w:rFonts w:ascii="Times New Roman"/>
          <w:b w:val="false"/>
          <w:i w:val="false"/>
          <w:color w:val="000000"/>
          <w:sz w:val="28"/>
        </w:rPr>
        <w:t>
      кредиттік досьені қалыптастыру және жүргізу.</w:t>
      </w:r>
    </w:p>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p>
      <w:pPr>
        <w:spacing w:after="0"/>
        <w:ind w:left="0"/>
        <w:jc w:val="both"/>
      </w:pPr>
      <w:r>
        <w:rPr>
          <w:rFonts w:ascii="Times New Roman"/>
          <w:b w:val="false"/>
          <w:i w:val="false"/>
          <w:color w:val="000000"/>
          <w:sz w:val="28"/>
        </w:rPr>
        <w:t>
      қарыз алушыны идентификаттау бойынша құжаттар қамтылады:</w:t>
      </w:r>
    </w:p>
    <w:p>
      <w:pPr>
        <w:spacing w:after="0"/>
        <w:ind w:left="0"/>
        <w:jc w:val="both"/>
      </w:pPr>
      <w:r>
        <w:rPr>
          <w:rFonts w:ascii="Times New Roman"/>
          <w:b w:val="false"/>
          <w:i w:val="false"/>
          <w:color w:val="000000"/>
          <w:sz w:val="28"/>
        </w:rPr>
        <w:t xml:space="preserve">
      осы топқа жеке тұлғаның жеке басын куәландыратын құжаттар, заңды тұлғаны құруға байланысты құжаттар (Банктер туралы заңның 8-1-бабының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бейрезидент-банктердің қатысуымен синдикатталған қарыздардан басқа):</w:t>
      </w:r>
    </w:p>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p>
      <w:pPr>
        <w:spacing w:after="0"/>
        <w:ind w:left="0"/>
        <w:jc w:val="both"/>
      </w:pPr>
      <w:r>
        <w:rPr>
          <w:rFonts w:ascii="Times New Roman"/>
          <w:b w:val="false"/>
          <w:i w:val="false"/>
          <w:color w:val="000000"/>
          <w:sz w:val="28"/>
        </w:rPr>
        <w:t>
      құжаттардың бұл тобына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w:t>
      </w:r>
    </w:p>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p>
      <w:pPr>
        <w:spacing w:after="0"/>
        <w:ind w:left="0"/>
        <w:jc w:val="both"/>
      </w:pPr>
      <w:r>
        <w:rPr>
          <w:rFonts w:ascii="Times New Roman"/>
          <w:b w:val="false"/>
          <w:i w:val="false"/>
          <w:color w:val="000000"/>
          <w:sz w:val="28"/>
        </w:rPr>
        <w:t>
      11) басқарушылық ақпарат жүйесінің болуы және жұмыс істеуі.</w:t>
      </w:r>
    </w:p>
    <w:p>
      <w:pPr>
        <w:spacing w:after="0"/>
        <w:ind w:left="0"/>
        <w:jc w:val="both"/>
      </w:pPr>
      <w:r>
        <w:rPr>
          <w:rFonts w:ascii="Times New Roman"/>
          <w:b w:val="false"/>
          <w:i w:val="false"/>
          <w:color w:val="000000"/>
          <w:sz w:val="28"/>
        </w:rPr>
        <w:t>
      Банк мына:</w:t>
      </w:r>
    </w:p>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p>
      <w:pPr>
        <w:spacing w:after="0"/>
        <w:ind w:left="0"/>
        <w:jc w:val="both"/>
      </w:pPr>
      <w:r>
        <w:rPr>
          <w:rFonts w:ascii="Times New Roman"/>
          <w:b w:val="false"/>
          <w:i w:val="false"/>
          <w:color w:val="000000"/>
          <w:sz w:val="28"/>
        </w:rPr>
        <w:t>
      лимиттердің сақталуын мониторингтеу және бақылау туралы;</w:t>
      </w:r>
    </w:p>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қызметі мәселелері </w:t>
            </w:r>
            <w:r>
              <w:br/>
            </w:r>
            <w:r>
              <w:rPr>
                <w:rFonts w:ascii="Times New Roman"/>
                <w:b w:val="false"/>
                <w:i w:val="false"/>
                <w:color w:val="000000"/>
                <w:sz w:val="20"/>
              </w:rPr>
              <w:t xml:space="preserve">бойынша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қызметі мәселелері </w:t>
            </w:r>
            <w:r>
              <w:br/>
            </w:r>
            <w:r>
              <w:rPr>
                <w:rFonts w:ascii="Times New Roman"/>
                <w:b w:val="false"/>
                <w:i w:val="false"/>
                <w:color w:val="000000"/>
                <w:sz w:val="20"/>
              </w:rPr>
              <w:t xml:space="preserve">бойынша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қызметі мәселелері </w:t>
            </w:r>
            <w:r>
              <w:br/>
            </w:r>
            <w:r>
              <w:rPr>
                <w:rFonts w:ascii="Times New Roman"/>
                <w:b w:val="false"/>
                <w:i w:val="false"/>
                <w:color w:val="000000"/>
                <w:sz w:val="20"/>
              </w:rPr>
              <w:t xml:space="preserve">бойынша өзгерістер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 xml:space="preserve">3-қосымша </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пруденциялық реттеу мәселелері </w:t>
            </w:r>
            <w:r>
              <w:br/>
            </w:r>
            <w:r>
              <w:rPr>
                <w:rFonts w:ascii="Times New Roman"/>
                <w:b w:val="false"/>
                <w:i w:val="false"/>
                <w:color w:val="000000"/>
                <w:sz w:val="20"/>
              </w:rPr>
              <w:t xml:space="preserve">бойынша нормативтік құқықтық </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 xml:space="preserve">5-қосымша </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