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a235e" w14:textId="50a23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Еңбегіне ақы төлеу базалық қаржыландыру шеңберінде жүзеге асырылатын жетекші ғалымдарға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Ғылым және жоғары білім министрінің 2022 жылғы 13 қазандағы № 108 бұйрығы. Қазақстан Республикасының Әділет министрлігінде 2022 жылғы 14 қазанда № 30159 болып тіркелді. Күші жойылды - Қазақстан Республикасы Ғылым және жоғары білім министрінің 2024 жылғы 17 желтоқсандағы № 573 бұйрығымен.</w:t>
      </w:r>
    </w:p>
    <w:p>
      <w:pPr>
        <w:spacing w:after="0"/>
        <w:ind w:left="0"/>
        <w:jc w:val="both"/>
      </w:pPr>
      <w:r>
        <w:rPr>
          <w:rFonts w:ascii="Times New Roman"/>
          <w:b w:val="false"/>
          <w:i w:val="false"/>
          <w:color w:val="ff0000"/>
          <w:sz w:val="28"/>
        </w:rPr>
        <w:t xml:space="preserve">
      Ескерту. Күші жойылды - ҚР Ғылым және жоғары білім министрінің 17.12.2024 </w:t>
      </w:r>
      <w:r>
        <w:rPr>
          <w:rFonts w:ascii="Times New Roman"/>
          <w:b w:val="false"/>
          <w:i w:val="false"/>
          <w:color w:val="ff0000"/>
          <w:sz w:val="28"/>
        </w:rPr>
        <w:t>№ 573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"Ғылым" туралы Қазақстан Республикасы Заңының 4-бабының </w:t>
      </w:r>
      <w:r>
        <w:rPr>
          <w:rFonts w:ascii="Times New Roman"/>
          <w:b w:val="false"/>
          <w:i w:val="false"/>
          <w:color w:val="000000"/>
          <w:sz w:val="28"/>
        </w:rPr>
        <w:t>15-1)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Еңбегіне ақы төлеу базалық қаржыландыру шеңберінде жүзеге асырылатын жетекші ғалымдарға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интернет 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Ғылым және жоғары білім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геология және</w:t>
      </w:r>
    </w:p>
    <w:p>
      <w:pPr>
        <w:spacing w:after="0"/>
        <w:ind w:left="0"/>
        <w:jc w:val="both"/>
      </w:pPr>
      <w:r>
        <w:rPr>
          <w:rFonts w:ascii="Times New Roman"/>
          <w:b w:val="false"/>
          <w:i w:val="false"/>
          <w:color w:val="000000"/>
          <w:sz w:val="28"/>
        </w:rPr>
        <w:t>
      табиғи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2022 жылғы 13 қазандағы</w:t>
            </w:r>
            <w:r>
              <w:br/>
            </w:r>
            <w:r>
              <w:rPr>
                <w:rFonts w:ascii="Times New Roman"/>
                <w:b w:val="false"/>
                <w:i w:val="false"/>
                <w:color w:val="000000"/>
                <w:sz w:val="20"/>
              </w:rPr>
              <w:t>№ 108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Еңбегіне ақы төлеу базалық қаржыландыру шеңберінде жүзеге асырылатын жетекші ғалымдарға қойылатын талаптарды бекіту туралы</w:t>
      </w:r>
    </w:p>
    <w:bookmarkEnd w:id="8"/>
    <w:bookmarkStart w:name="z11" w:id="9"/>
    <w:p>
      <w:pPr>
        <w:spacing w:after="0"/>
        <w:ind w:left="0"/>
        <w:jc w:val="both"/>
      </w:pPr>
      <w:r>
        <w:rPr>
          <w:rFonts w:ascii="Times New Roman"/>
          <w:b w:val="false"/>
          <w:i w:val="false"/>
          <w:color w:val="000000"/>
          <w:sz w:val="28"/>
        </w:rPr>
        <w:t>
      1. Еңбегіне ақы төлеу базалық қаржыландыру шеңберінде жүзеге асырылатын жетекші ғалымдар мынадай талаптарға сәйкес келеді:</w:t>
      </w:r>
    </w:p>
    <w:bookmarkEnd w:id="9"/>
    <w:bookmarkStart w:name="z12" w:id="10"/>
    <w:p>
      <w:pPr>
        <w:spacing w:after="0"/>
        <w:ind w:left="0"/>
        <w:jc w:val="both"/>
      </w:pPr>
      <w:r>
        <w:rPr>
          <w:rFonts w:ascii="Times New Roman"/>
          <w:b w:val="false"/>
          <w:i w:val="false"/>
          <w:color w:val="000000"/>
          <w:sz w:val="28"/>
        </w:rPr>
        <w:t>
      1) ғылыми дәрежесінің (ғылым кандидаты, ғылым докторы, философия докторы (PhD), бейіні бойынша доктор) немесе философия докторының (PhD), бейіні бойынша доктордың академиялық дәрежесі немесе философия докторы (PhD), бейіні бойынша доктор дәрежесінің болуы;</w:t>
      </w:r>
    </w:p>
    <w:bookmarkEnd w:id="10"/>
    <w:bookmarkStart w:name="z13" w:id="11"/>
    <w:p>
      <w:pPr>
        <w:spacing w:after="0"/>
        <w:ind w:left="0"/>
        <w:jc w:val="both"/>
      </w:pPr>
      <w:r>
        <w:rPr>
          <w:rFonts w:ascii="Times New Roman"/>
          <w:b w:val="false"/>
          <w:i w:val="false"/>
          <w:color w:val="000000"/>
          <w:sz w:val="28"/>
        </w:rPr>
        <w:t>
      2) базалық қаржыландыру субъектісі қызметінің бағытына сәйкес келетін және кемінде 5 (бес) жылды құрайтын ғылыми және (немесе) ғылыми-педагогикалық жұмыс өтілінің болуы;</w:t>
      </w:r>
    </w:p>
    <w:bookmarkEnd w:id="11"/>
    <w:bookmarkStart w:name="z14" w:id="12"/>
    <w:p>
      <w:pPr>
        <w:spacing w:after="0"/>
        <w:ind w:left="0"/>
        <w:jc w:val="both"/>
      </w:pPr>
      <w:r>
        <w:rPr>
          <w:rFonts w:ascii="Times New Roman"/>
          <w:b w:val="false"/>
          <w:i w:val="false"/>
          <w:color w:val="000000"/>
          <w:sz w:val="28"/>
        </w:rPr>
        <w:t>
      3) ғылыми ұйымды немесе ғылыми бөлімшені (бөлімді, орталықты, зертхананы немесе басқа құрылымдық бөлімшені) басқару тәжірибесінің кемінде 3 (үш) жыл немесе мемлекеттік бюджет есебінен гранттық немесе бағдарламалық-нысаналы қаржыландыру шеңберінде аяқталған немесе іске асырылатын ғылыми немесе ғылыми-техникалық жобаға немесе бағдарламаға ғылыми басшылық жасау не халықаралық жобаға ғылыми басшылық жасау тәжірибесінің болуы іске асыру мерзімі кемінде 3 (үш) жыл халықаралық ұйым қаржыландыратын бағдарламамен немесе жобамен, не ғылыми кеңесші немесе басшы ретінде кемінде 1 (бір) философия докторы (PhD), бейіні бойынша доктор не кандидатты немесе ғылым докторын дайындау және табысты қорғау тәжірибесінің болуы не Web of Science (Вэб оф сайнс) және (немесе) Scopus (Скопус) халықаралық базаларына сәйкес кемінде 3 (үш) Хирш индексінің болуы;</w:t>
      </w:r>
    </w:p>
    <w:bookmarkEnd w:id="12"/>
    <w:bookmarkStart w:name="z15" w:id="13"/>
    <w:p>
      <w:pPr>
        <w:spacing w:after="0"/>
        <w:ind w:left="0"/>
        <w:jc w:val="both"/>
      </w:pPr>
      <w:r>
        <w:rPr>
          <w:rFonts w:ascii="Times New Roman"/>
          <w:b w:val="false"/>
          <w:i w:val="false"/>
          <w:color w:val="000000"/>
          <w:sz w:val="28"/>
        </w:rPr>
        <w:t>
      4) негізгі жұмыс орны базалық қаржыландыру субъектісі болып табылады.</w:t>
      </w:r>
    </w:p>
    <w:bookmarkEnd w:id="13"/>
    <w:bookmarkStart w:name="z16" w:id="14"/>
    <w:p>
      <w:pPr>
        <w:spacing w:after="0"/>
        <w:ind w:left="0"/>
        <w:jc w:val="both"/>
      </w:pPr>
      <w:r>
        <w:rPr>
          <w:rFonts w:ascii="Times New Roman"/>
          <w:b w:val="false"/>
          <w:i w:val="false"/>
          <w:color w:val="000000"/>
          <w:sz w:val="28"/>
        </w:rPr>
        <w:t>
      5) жетекші ғалымдардың соңғы 10 (он) жылда базалық қаржыландыру субъектісі қызметінің бағытына сәйкес келетін:</w:t>
      </w:r>
    </w:p>
    <w:bookmarkEnd w:id="14"/>
    <w:p>
      <w:pPr>
        <w:spacing w:after="0"/>
        <w:ind w:left="0"/>
        <w:jc w:val="both"/>
      </w:pPr>
      <w:r>
        <w:rPr>
          <w:rFonts w:ascii="Times New Roman"/>
          <w:b w:val="false"/>
          <w:i w:val="false"/>
          <w:color w:val="000000"/>
          <w:sz w:val="28"/>
        </w:rPr>
        <w:t>
      "Жаратылыстану ғылымдары", "Инжиниринг және технологиялар", "Медицина және денсаулық сақтау" ғылыми бағыттары бойынша:</w:t>
      </w:r>
    </w:p>
    <w:p>
      <w:pPr>
        <w:spacing w:after="0"/>
        <w:ind w:left="0"/>
        <w:jc w:val="both"/>
      </w:pPr>
      <w:r>
        <w:rPr>
          <w:rFonts w:ascii="Times New Roman"/>
          <w:b w:val="false"/>
          <w:i w:val="false"/>
          <w:color w:val="000000"/>
          <w:sz w:val="28"/>
        </w:rPr>
        <w:t xml:space="preserve">
      Science Citation Index Expanded (Сайнс сайтейшн индекс экспандед) дерекқорында Web of Science (Вэб оф сайнс) және (немесе) Scopus (Скопус) дерекқорында CiteScore (Сайтскор) бойынша процентилі бар рецензияланатын ғылыми басылымдарда индекстелетін кемінде 2 (екі) мақала және (немесе) шолудың, Қазақстан Республикасы Ғылым және жоғары білім министрлігінің Ғылым және жоғары білім саласындағы сапаны қамтамасыз ету комитеті (бұдан әрі – ҒЖБССҚК) ғылыми зерттеулердің негізгі нәтижелерін жариялауға ұсынған рецензияланатын шетелдік немесе отандық басылымдарда кемінде 20 (жиырма) және кемінде 1 (бір) мақала немесе шолудың болуы; </w:t>
      </w:r>
    </w:p>
    <w:p>
      <w:pPr>
        <w:spacing w:after="0"/>
        <w:ind w:left="0"/>
        <w:jc w:val="both"/>
      </w:pPr>
      <w:r>
        <w:rPr>
          <w:rFonts w:ascii="Times New Roman"/>
          <w:b w:val="false"/>
          <w:i w:val="false"/>
          <w:color w:val="000000"/>
          <w:sz w:val="28"/>
        </w:rPr>
        <w:t>
      "Ауыл шаруашылығы және ветеринария ғылымдары" ғылыми бағыты бойынша:</w:t>
      </w:r>
    </w:p>
    <w:p>
      <w:pPr>
        <w:spacing w:after="0"/>
        <w:ind w:left="0"/>
        <w:jc w:val="both"/>
      </w:pPr>
      <w:r>
        <w:rPr>
          <w:rFonts w:ascii="Times New Roman"/>
          <w:b w:val="false"/>
          <w:i w:val="false"/>
          <w:color w:val="000000"/>
          <w:sz w:val="28"/>
        </w:rPr>
        <w:t>
      Science Citation Index Expanded (Сайнс сайтейшн индекс экспандед) дерекқорында Web of Science (Вэб оф сайнс) және (немесе) Scopus (Скопус) дерекқорында CiteScore (Сайтскор) бойынша процентилі бар рецензияланатын ғылыми басылымдарда индекстелетін кемінде 2 (екі) мақала және (немесе) шолудың, ҒЖБССҚК ғылыми зерттеулердің негізгі нәтижелерін жариялауға ұсынған рецензияланатын шетелдік немесе отандық басылымдарда кемінде 20 (жиырма) және 1 (бір) мақала немесе шолудың не селекциялық жетістікке (өсімдік шаруашылығында немесе мал шаруашылығында) кемінде 1 (бір) патент немесе өнертабысқа, технологияларға, пайдалы модельдерге, техникалық құралдарға арналған 1 (бір) қорғау құжатының немесе Қазақстан Республикасының өндірісіне енгізілген ғылыми, ғылыми-техникалық қызметтің нәтижелері немесе шығарылған және аудандастырылған ауыл шаруашылығы өсімдіктерінің сорттары мен будандары, ауыл шаруашылығы жануарларының, балықтардың және аралардың тұқымдары, типтері, желілері, сондай-ақ құстардың кросстары немесе механикаландыру, ауыл шаруашылығы саласындағы технологиялық және техникалық әзірлемелерінің, өсімдіктерді қорғау және карантин, топырақ құнарлылығы, ауыл шаруашылығы өнімдерін өндіру, сақтау және қайта өңдеу немесе жаңа әдістерді, сондай-ақ жануарлар, құстар, балықтар мен аралар ауруларының профилактикасы, диагностикасы және оларды емдеу құралдарын әзірлеу немесе агроөнеркәсіптік кешен және ауылдық аумақтарды дамыту саласындағы елеулі экономикалық әзірлемелерінің болуы;</w:t>
      </w:r>
    </w:p>
    <w:p>
      <w:pPr>
        <w:spacing w:after="0"/>
        <w:ind w:left="0"/>
        <w:jc w:val="both"/>
      </w:pPr>
      <w:r>
        <w:rPr>
          <w:rFonts w:ascii="Times New Roman"/>
          <w:b w:val="false"/>
          <w:i w:val="false"/>
          <w:color w:val="000000"/>
          <w:sz w:val="28"/>
        </w:rPr>
        <w:t>
      "Әлеуметтік ғылымдар" және "Гуманитарлық ғылымдар және өнер" ғылыми бағыттары бойынша:</w:t>
      </w:r>
    </w:p>
    <w:p>
      <w:pPr>
        <w:spacing w:after="0"/>
        <w:ind w:left="0"/>
        <w:jc w:val="both"/>
      </w:pPr>
      <w:r>
        <w:rPr>
          <w:rFonts w:ascii="Times New Roman"/>
          <w:b w:val="false"/>
          <w:i w:val="false"/>
          <w:color w:val="000000"/>
          <w:sz w:val="28"/>
        </w:rPr>
        <w:t>
      Web of Science (вэб оф сайнс) және (немесе) Scopus (Скопус) халықаралық дерекқорда индекстелетін кемінде 1 (бір) мақала және (немесе) шолу және ҒЖБССҚК ғылыми зерттеулердің негізгі нәтижелерін жариялауға ұсынған отандық және (немесе) шетелдік ғылыми басылымдарда кемінде 2 (екі) мақала немесе шолудың немесе ISBN (Айэсбиэн) болған кезде 4 баспа табақ үлесі бар монографияның болуы;</w:t>
      </w:r>
    </w:p>
    <w:p>
      <w:pPr>
        <w:spacing w:after="0"/>
        <w:ind w:left="0"/>
        <w:jc w:val="both"/>
      </w:pPr>
      <w:r>
        <w:rPr>
          <w:rFonts w:ascii="Times New Roman"/>
          <w:b w:val="false"/>
          <w:i w:val="false"/>
          <w:color w:val="000000"/>
          <w:sz w:val="28"/>
        </w:rPr>
        <w:t>
      қорғаныс өнеркәсібі кешенін, қару-жарақ пен әскери техниканы, әскери-ғарыштық және қосарлы мақсаттағы технологияларды, ғарыштық техника мен технологияларды дамыту жөніндегі тәжірибелік-конструкторлық жұмыстарды қоса алғанда, "Әскери ғылымдар және ұлттық қауіпсіздік" ғылыми бағыты бойынша:</w:t>
      </w:r>
    </w:p>
    <w:p>
      <w:pPr>
        <w:spacing w:after="0"/>
        <w:ind w:left="0"/>
        <w:jc w:val="both"/>
      </w:pPr>
      <w:r>
        <w:rPr>
          <w:rFonts w:ascii="Times New Roman"/>
          <w:b w:val="false"/>
          <w:i w:val="false"/>
          <w:color w:val="000000"/>
          <w:sz w:val="28"/>
        </w:rPr>
        <w:t>
      ҒЖБССҚК ұсынған журналдарда және (немесе) басқа отандық рецензияланатын ғылыми басылымдарда кемінде 2 (екі) мақаланың болуы.</w:t>
      </w:r>
    </w:p>
    <w:p>
      <w:pPr>
        <w:spacing w:after="0"/>
        <w:ind w:left="0"/>
        <w:jc w:val="both"/>
      </w:pPr>
      <w:r>
        <w:rPr>
          <w:rFonts w:ascii="Times New Roman"/>
          <w:b w:val="false"/>
          <w:i w:val="false"/>
          <w:color w:val="000000"/>
          <w:sz w:val="28"/>
        </w:rPr>
        <w:t>
      ҒЖБССҚК ұсынған ғылыми басылымдарда мақаласы болмаған жағдайда, өнертабысқа арналған патенті немесе басқа қорғау құжаты (толық библиографиялық сипаттамасы бар) есепке алынады.</w:t>
      </w:r>
    </w:p>
    <w:bookmarkStart w:name="z17" w:id="15"/>
    <w:p>
      <w:pPr>
        <w:spacing w:after="0"/>
        <w:ind w:left="0"/>
        <w:jc w:val="both"/>
      </w:pPr>
      <w:r>
        <w:rPr>
          <w:rFonts w:ascii="Times New Roman"/>
          <w:b w:val="false"/>
          <w:i w:val="false"/>
          <w:color w:val="000000"/>
          <w:sz w:val="28"/>
        </w:rPr>
        <w:t>
      2. Базалық қаржыландыру субъектісі ұсынылған мәліметтердің дұрыстығын және жетекші ғалымдардың ұсынылған тізімінің осы Талаптарға сәйкестігін қамтамасыз етеді.</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