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740e7" w14:textId="d274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14 желтоқсандағы № 1199 және Қазақстан Республикасы Ұлттық экономика министрінің 2015 жылғы 29 желтоқсандағы № 826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2022 жылғы 28 қыркүйектегі № 379-НҚ және Қазақстан Республикасы Ұлттық экономика министрінің 2022 жылғы 28 қыркүйектегі № 67 бірлескен бұйрығы. Қазақстан Республикасының Әділет министрлігінде 2022 жылғы 30 қыркүйекте № 29925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"Техникалық реттеу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14 желтоқсандағы № 1199 және Қазақстан Республикасы Ұлттық экономика министрінің 2015 жылғы 29 желтоқсандағы № 826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12735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Техникалық реттеу саласындағы бақылау және қадағалау субъектілерін (объектілерін) іріктеу үшін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қосымшада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реттік нөмірі 156 - 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құрамның вагондарын мүгедектігі бар адамдар мен балалары бар жолаушыларды жүріп өтуіне арналған орындармен жабдықтау. Қозғалғыштығы шектеулі азаматтардың жүріп өтуіне арналған жолаушылар вагондары мен моторвагонды жылжымалы құрам вагондарын мынадай құрылғылармен жабдықтау:</w:t>
            </w:r>
          </w:p>
          <w:p>
            <w:pPr>
              <w:spacing w:after="20"/>
              <w:ind w:left="20"/>
              <w:jc w:val="both"/>
            </w:pPr>
            <w:r>
              <w:rPr>
                <w:rFonts w:ascii="Times New Roman"/>
                <w:b w:val="false"/>
                <w:i w:val="false"/>
                <w:color w:val="000000"/>
                <w:sz w:val="20"/>
              </w:rPr>
              <w:t>
1) кресло-арбаны тез көтеріп-түсіруге және сенімді бекітуге арналған құрылғылар;</w:t>
            </w:r>
          </w:p>
          <w:p>
            <w:pPr>
              <w:spacing w:after="20"/>
              <w:ind w:left="20"/>
              <w:jc w:val="both"/>
            </w:pPr>
            <w:r>
              <w:rPr>
                <w:rFonts w:ascii="Times New Roman"/>
                <w:b w:val="false"/>
                <w:i w:val="false"/>
                <w:color w:val="000000"/>
                <w:sz w:val="20"/>
              </w:rPr>
              <w:t>
2) ауданы ұлғайтылған арнайы санитариялық тораптар;</w:t>
            </w:r>
          </w:p>
          <w:p>
            <w:pPr>
              <w:spacing w:after="20"/>
              <w:ind w:left="20"/>
              <w:jc w:val="both"/>
            </w:pPr>
            <w:r>
              <w:rPr>
                <w:rFonts w:ascii="Times New Roman"/>
                <w:b w:val="false"/>
                <w:i w:val="false"/>
                <w:color w:val="000000"/>
                <w:sz w:val="20"/>
              </w:rPr>
              <w:t>
3) ені ұлғайтылған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реттік нөмірлері 228 және 229 - 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мүгедектігі бар адамдар мен балалары бар жолаушылардың жүруіне арналған 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 шектеулі адамдардың жүруіне арналған вагондарда жоғары жылдамдықты темір жол жылжымалы құрамының мынадай құрылғылардың болуы:</w:t>
            </w:r>
          </w:p>
          <w:p>
            <w:pPr>
              <w:spacing w:after="20"/>
              <w:ind w:left="20"/>
              <w:jc w:val="both"/>
            </w:pPr>
            <w:r>
              <w:rPr>
                <w:rFonts w:ascii="Times New Roman"/>
                <w:b w:val="false"/>
                <w:i w:val="false"/>
                <w:color w:val="000000"/>
                <w:sz w:val="20"/>
              </w:rPr>
              <w:t>
1) кресло-арбаны тез көтеріп-түсіруге және сенімді бекітуге арналған құрылғы;</w:t>
            </w:r>
          </w:p>
          <w:p>
            <w:pPr>
              <w:spacing w:after="20"/>
              <w:ind w:left="20"/>
              <w:jc w:val="both"/>
            </w:pPr>
            <w:r>
              <w:rPr>
                <w:rFonts w:ascii="Times New Roman"/>
                <w:b w:val="false"/>
                <w:i w:val="false"/>
                <w:color w:val="000000"/>
                <w:sz w:val="20"/>
              </w:rPr>
              <w:t>
2) ауданы ұлғайтылған арнайы санитариялық тораптар;</w:t>
            </w:r>
          </w:p>
          <w:p>
            <w:pPr>
              <w:spacing w:after="20"/>
              <w:ind w:left="20"/>
              <w:jc w:val="both"/>
            </w:pPr>
            <w:r>
              <w:rPr>
                <w:rFonts w:ascii="Times New Roman"/>
                <w:b w:val="false"/>
                <w:i w:val="false"/>
                <w:color w:val="000000"/>
                <w:sz w:val="20"/>
              </w:rPr>
              <w:t>
3) ені ұлғайтылған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реттік нөмірі 295 - жол мынадай редакцияда жазылсын: </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лифтіде қауіпсіздікті қамтамасыз ету үшін, оның ішінде мүгедектігі бар адамдар мен халықтың жүріп-тұруы шектеулі топтарын тасымалдауға арналған талаптарды сақтау үшін төмендегілер орындалады: </w:t>
            </w:r>
          </w:p>
          <w:p>
            <w:pPr>
              <w:spacing w:after="20"/>
              <w:ind w:left="20"/>
              <w:jc w:val="both"/>
            </w:pPr>
            <w:r>
              <w:rPr>
                <w:rFonts w:ascii="Times New Roman"/>
                <w:b w:val="false"/>
                <w:i w:val="false"/>
                <w:color w:val="000000"/>
                <w:sz w:val="20"/>
              </w:rPr>
              <w:t>
1) кабинаның өлшемі, кабинаның және шахтаның есік ойығының өлшемдері кабинадан қауіпсіз кіруді және шығуды, сондай-ақ пайдаланушының кабинасында кресло-арбамен орналастыруды қамтамасыз етеді;</w:t>
            </w:r>
          </w:p>
          <w:p>
            <w:pPr>
              <w:spacing w:after="20"/>
              <w:ind w:left="20"/>
              <w:jc w:val="both"/>
            </w:pPr>
            <w:r>
              <w:rPr>
                <w:rFonts w:ascii="Times New Roman"/>
                <w:b w:val="false"/>
                <w:i w:val="false"/>
                <w:color w:val="000000"/>
                <w:sz w:val="20"/>
              </w:rPr>
              <w:t>
2) пайдаланушыны кресло-арбада алып жүрушілерсіз тасымалдауға арналған лифт кабинасы мен шахтасының есіктері автоматты түрде ашылады және жабылады;</w:t>
            </w:r>
          </w:p>
          <w:p>
            <w:pPr>
              <w:spacing w:after="20"/>
              <w:ind w:left="20"/>
              <w:jc w:val="both"/>
            </w:pPr>
            <w:r>
              <w:rPr>
                <w:rFonts w:ascii="Times New Roman"/>
                <w:b w:val="false"/>
                <w:i w:val="false"/>
                <w:color w:val="000000"/>
                <w:sz w:val="20"/>
              </w:rPr>
              <w:t>
3) лифт кабинасы тұтқаның орналасуы пайдаланушының кабинаға және басқару құрылғыларына кіруін жеңілдететін кем дегенде бір тұтқамен жабдықталады;</w:t>
            </w:r>
          </w:p>
          <w:p>
            <w:pPr>
              <w:spacing w:after="20"/>
              <w:ind w:left="20"/>
              <w:jc w:val="both"/>
            </w:pPr>
            <w:r>
              <w:rPr>
                <w:rFonts w:ascii="Times New Roman"/>
                <w:b w:val="false"/>
                <w:i w:val="false"/>
                <w:color w:val="000000"/>
                <w:sz w:val="20"/>
              </w:rPr>
              <w:t>
4) кабинаның табалдырықтары мен қабатты алаң арасындағы көлденең және тік қашықтық кабинаға қауіпсіз кіруді және кресло-арбамен пайдаланушының кабинасынан шығуды қамтамасыз етеді;</w:t>
            </w:r>
          </w:p>
          <w:p>
            <w:pPr>
              <w:spacing w:after="20"/>
              <w:ind w:left="20"/>
              <w:jc w:val="both"/>
            </w:pPr>
            <w:r>
              <w:rPr>
                <w:rFonts w:ascii="Times New Roman"/>
                <w:b w:val="false"/>
                <w:i w:val="false"/>
                <w:color w:val="000000"/>
                <w:sz w:val="20"/>
              </w:rPr>
              <w:t>
5) лифт кабинасында және қабат алаңында басқару және сигнал беру (дыбыстық және жарықтық) құрылғыларының конструкциясы және орналасуы лифттің мүгедектігі бар адамдар мен халықтың жүріп-тұруы шектеулі топтары үшін қауіпсіздігі мен қолжетімділігін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5-қосымшада</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Техникалық реттеу саласындағы тексеру парағында:</w:t>
      </w:r>
    </w:p>
    <w:bookmarkEnd w:id="8"/>
    <w:bookmarkStart w:name="z10" w:id="9"/>
    <w:p>
      <w:pPr>
        <w:spacing w:after="0"/>
        <w:ind w:left="0"/>
        <w:jc w:val="both"/>
      </w:pPr>
      <w:r>
        <w:rPr>
          <w:rFonts w:ascii="Times New Roman"/>
          <w:b w:val="false"/>
          <w:i w:val="false"/>
          <w:color w:val="000000"/>
          <w:sz w:val="28"/>
        </w:rPr>
        <w:t>
      реттік нөмірі 102 - жол мынадай редакцияда жазылсын:</w:t>
      </w:r>
    </w:p>
    <w:bookmarkEnd w:id="9"/>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моторвагонды жылжымалы құрамның вагондарын мүгедектігі бар адамдар мен балалары бар жолаушылардың жүріп өтуіне арналған орындармен жабдықтау. Қозғалғыштығы шектеулі азаматтардың жүріп өтуіне арналған жолаушылар вагондары мен моторвагонды жылжымалы құрам вагондарын мынадай құрылғылармен жабдықтау: </w:t>
            </w:r>
          </w:p>
          <w:p>
            <w:pPr>
              <w:spacing w:after="20"/>
              <w:ind w:left="20"/>
              <w:jc w:val="both"/>
            </w:pPr>
            <w:r>
              <w:rPr>
                <w:rFonts w:ascii="Times New Roman"/>
                <w:b w:val="false"/>
                <w:i w:val="false"/>
                <w:color w:val="000000"/>
                <w:sz w:val="20"/>
              </w:rPr>
              <w:t xml:space="preserve">
1) кресло-арбаны тез көтеріп-түсіруге және сенімді бекітуге арналған құрылғылар; </w:t>
            </w:r>
          </w:p>
          <w:p>
            <w:pPr>
              <w:spacing w:after="20"/>
              <w:ind w:left="20"/>
              <w:jc w:val="both"/>
            </w:pPr>
            <w:r>
              <w:rPr>
                <w:rFonts w:ascii="Times New Roman"/>
                <w:b w:val="false"/>
                <w:i w:val="false"/>
                <w:color w:val="000000"/>
                <w:sz w:val="20"/>
              </w:rPr>
              <w:t xml:space="preserve">
2) ауданы ұлғайтылған арнайы санитариялық тораптар; </w:t>
            </w:r>
          </w:p>
          <w:p>
            <w:pPr>
              <w:spacing w:after="20"/>
              <w:ind w:left="20"/>
              <w:jc w:val="both"/>
            </w:pPr>
            <w:r>
              <w:rPr>
                <w:rFonts w:ascii="Times New Roman"/>
                <w:b w:val="false"/>
                <w:i w:val="false"/>
                <w:color w:val="000000"/>
                <w:sz w:val="20"/>
              </w:rPr>
              <w:t>
3) ені ұлғайтылған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реттік нөмірлері 174 және 175 - жолдар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жылжымалы құрамында мүгедектігі бар адамдар мен балалары бар жолаушылардың жүруіне арналған орындардың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 шектеулі азаматтардың жүруіне арналған вагондарда жоғары жылдамдықты темір жол жылжымалы құрамының мынадай құрылғылардың болуы:</w:t>
            </w:r>
          </w:p>
          <w:p>
            <w:pPr>
              <w:spacing w:after="20"/>
              <w:ind w:left="20"/>
              <w:jc w:val="both"/>
            </w:pPr>
            <w:r>
              <w:rPr>
                <w:rFonts w:ascii="Times New Roman"/>
                <w:b w:val="false"/>
                <w:i w:val="false"/>
                <w:color w:val="000000"/>
                <w:sz w:val="20"/>
              </w:rPr>
              <w:t>
1) кресло-арбаны тез көтеріп-түсіруге және сенімді бекітуге арналған құрылғылар;</w:t>
            </w:r>
          </w:p>
          <w:p>
            <w:pPr>
              <w:spacing w:after="20"/>
              <w:ind w:left="20"/>
              <w:jc w:val="both"/>
            </w:pPr>
            <w:r>
              <w:rPr>
                <w:rFonts w:ascii="Times New Roman"/>
                <w:b w:val="false"/>
                <w:i w:val="false"/>
                <w:color w:val="000000"/>
                <w:sz w:val="20"/>
              </w:rPr>
              <w:t>
2) ауданы ұлғайтылған арнайы санитариялық тораптар;</w:t>
            </w:r>
          </w:p>
          <w:p>
            <w:pPr>
              <w:spacing w:after="20"/>
              <w:ind w:left="20"/>
              <w:jc w:val="both"/>
            </w:pPr>
            <w:r>
              <w:rPr>
                <w:rFonts w:ascii="Times New Roman"/>
                <w:b w:val="false"/>
                <w:i w:val="false"/>
                <w:color w:val="000000"/>
                <w:sz w:val="20"/>
              </w:rPr>
              <w:t>
3) ені ұлғайтылған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реттік нөмірі 241-жол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лифтіде қауіпсіздікті қамтамасыз ету үшін, оның ішінде мүгедектігі бар адамдар мен халықтың жүріп-тұруы шектеулі топтарын тасымалдауға арналған талаптарды сақтау үшін төмендегілер орындалады: </w:t>
            </w:r>
          </w:p>
          <w:p>
            <w:pPr>
              <w:spacing w:after="20"/>
              <w:ind w:left="20"/>
              <w:jc w:val="both"/>
            </w:pPr>
            <w:r>
              <w:rPr>
                <w:rFonts w:ascii="Times New Roman"/>
                <w:b w:val="false"/>
                <w:i w:val="false"/>
                <w:color w:val="000000"/>
                <w:sz w:val="20"/>
              </w:rPr>
              <w:t>
1) кабинаның өлшемі, кабинаның және шахтаның есік ойығының өлшемдері кабинадан қауіпсіз кіруді және шығуды, сондай-ақ пайдаланушының кабинасында кресло-арбамен орналастыруды қамтамасыз етеді;</w:t>
            </w:r>
          </w:p>
          <w:p>
            <w:pPr>
              <w:spacing w:after="20"/>
              <w:ind w:left="20"/>
              <w:jc w:val="both"/>
            </w:pPr>
            <w:r>
              <w:rPr>
                <w:rFonts w:ascii="Times New Roman"/>
                <w:b w:val="false"/>
                <w:i w:val="false"/>
                <w:color w:val="000000"/>
                <w:sz w:val="20"/>
              </w:rPr>
              <w:t>
2) пайдаланушыны кресло-арбада алып жүрушілерсіз тасымалдауға арналған лифт кабинасы мен шахтасының есіктері автоматты түрде ашылады және жабылады;</w:t>
            </w:r>
          </w:p>
          <w:p>
            <w:pPr>
              <w:spacing w:after="20"/>
              <w:ind w:left="20"/>
              <w:jc w:val="both"/>
            </w:pPr>
            <w:r>
              <w:rPr>
                <w:rFonts w:ascii="Times New Roman"/>
                <w:b w:val="false"/>
                <w:i w:val="false"/>
                <w:color w:val="000000"/>
                <w:sz w:val="20"/>
              </w:rPr>
              <w:t>
3) лифт кабинасы тұтқаның орналасуы пайдаланушының кабинаға және басқару құрылғыларына кіруін жеңілдететін кем дегенде бір тұтқамен жабдықталады;</w:t>
            </w:r>
          </w:p>
          <w:p>
            <w:pPr>
              <w:spacing w:after="20"/>
              <w:ind w:left="20"/>
              <w:jc w:val="both"/>
            </w:pPr>
            <w:r>
              <w:rPr>
                <w:rFonts w:ascii="Times New Roman"/>
                <w:b w:val="false"/>
                <w:i w:val="false"/>
                <w:color w:val="000000"/>
                <w:sz w:val="20"/>
              </w:rPr>
              <w:t>
4) кабинаның табалдырықтары мен қабатты алаң арасындағы көлденең және тік қашықтық кабинаға қауіпсіз кіруді және кресло-арбамен пайдаланушының кабинасынан шығуды қамтамасыз етеді;</w:t>
            </w:r>
          </w:p>
          <w:p>
            <w:pPr>
              <w:spacing w:after="20"/>
              <w:ind w:left="20"/>
              <w:jc w:val="both"/>
            </w:pPr>
            <w:r>
              <w:rPr>
                <w:rFonts w:ascii="Times New Roman"/>
                <w:b w:val="false"/>
                <w:i w:val="false"/>
                <w:color w:val="000000"/>
                <w:sz w:val="20"/>
              </w:rPr>
              <w:t>
5) лифт кабинасында және қабат алаңында басқару және сигнал беру (дыбыстық және жарықтық) құрылғыларының конструкциясы және орналасуы лифттің мүгедектігі бар адамдар мен халықтың жүріп-тұруы шектеулі топтары үшін қауіпсіздігі мен қолжетімділігін қамтамасыз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12"/>
    <w:bookmarkStart w:name="z14" w:id="13"/>
    <w:p>
      <w:pPr>
        <w:spacing w:after="0"/>
        <w:ind w:left="0"/>
        <w:jc w:val="both"/>
      </w:pPr>
      <w:r>
        <w:rPr>
          <w:rFonts w:ascii="Times New Roman"/>
          <w:b w:val="false"/>
          <w:i w:val="false"/>
          <w:color w:val="000000"/>
          <w:sz w:val="28"/>
        </w:rPr>
        <w:t xml:space="preserve">
      1) осы бірлескен бұйрықты Қазақстан Республикасы Әділет министрлігінде мемлекеттік тіркеуді; </w:t>
      </w:r>
    </w:p>
    <w:bookmarkEnd w:id="13"/>
    <w:bookmarkStart w:name="z15" w:id="14"/>
    <w:p>
      <w:pPr>
        <w:spacing w:after="0"/>
        <w:ind w:left="0"/>
        <w:jc w:val="both"/>
      </w:pPr>
      <w:r>
        <w:rPr>
          <w:rFonts w:ascii="Times New Roman"/>
          <w:b w:val="false"/>
          <w:i w:val="false"/>
          <w:color w:val="000000"/>
          <w:sz w:val="28"/>
        </w:rPr>
        <w:t>
      2) осы бірлескен бұйрықты Қазақстан Республикасы Сауда және интеграция министрлігінің интернет-ресурсында орналастыруды қамтамасыз етсін.</w:t>
      </w:r>
    </w:p>
    <w:bookmarkEnd w:id="14"/>
    <w:bookmarkStart w:name="z16" w:id="1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Сауда және интеграция, Ұлттық экономика вице-министрлеріне жүктелсін.</w:t>
      </w:r>
    </w:p>
    <w:bookmarkEnd w:id="15"/>
    <w:bookmarkStart w:name="z17" w:id="16"/>
    <w:p>
      <w:pPr>
        <w:spacing w:after="0"/>
        <w:ind w:left="0"/>
        <w:jc w:val="both"/>
      </w:pPr>
      <w:r>
        <w:rPr>
          <w:rFonts w:ascii="Times New Roman"/>
          <w:b w:val="false"/>
          <w:i w:val="false"/>
          <w:color w:val="000000"/>
          <w:sz w:val="28"/>
        </w:rPr>
        <w:t>
      4. Осы бірлескен бұйрық алғашқы ресми жарияланған күнiнен кейін күнтiзбелiк он күн өткен соң қолданысқа енгiзiледi.</w:t>
      </w:r>
    </w:p>
    <w:bookmarkEnd w:id="1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p>
          <w:p>
            <w:pPr>
              <w:spacing w:after="20"/>
              <w:ind w:left="20"/>
              <w:jc w:val="both"/>
            </w:pP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Сауда және интеграция министрі</w:t>
            </w:r>
          </w:p>
          <w:p>
            <w:pPr>
              <w:spacing w:after="20"/>
              <w:ind w:left="20"/>
              <w:jc w:val="both"/>
            </w:pPr>
            <w:r>
              <w:rPr>
                <w:rFonts w:ascii="Times New Roman"/>
                <w:b w:val="false"/>
                <w:i/>
                <w:color w:val="000000"/>
                <w:sz w:val="20"/>
              </w:rPr>
              <w:t>__________С.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 есепке алу комитеті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