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7de6" w14:textId="e387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13 қыркүйектегі № 30 және Қазақстан Республикасының Цифрлық даму, инновациялар және аэроғарыш өнеркәсібі министрінің 2022 жылғы 14 қыркүйектегі № 326/НҚ бірлескен бұйрығы. Қазақстан Республикасының Әділет министрлігінде 2022 жылғы 15 қыркүйекте № 29584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26981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КЖ/ТҚҚ туралы Заңы)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 Осы Талаптарда мынадай негізгі ұғымдар пайдаланылады:</w:t>
      </w:r>
    </w:p>
    <w:bookmarkEnd w:id="6"/>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уәкілетті мемлекеттік органның желісі;</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Start w:name="z12" w:id="7"/>
    <w:p>
      <w:pPr>
        <w:spacing w:after="0"/>
        <w:ind w:left="0"/>
        <w:jc w:val="both"/>
      </w:pPr>
      <w:r>
        <w:rPr>
          <w:rFonts w:ascii="Times New Roman"/>
          <w:b w:val="false"/>
          <w:i w:val="false"/>
          <w:color w:val="000000"/>
          <w:sz w:val="28"/>
        </w:rPr>
        <w:t>
      4. Ішкі бақылау мынадай мақсаттарда жүзеге асырылады:</w:t>
      </w:r>
    </w:p>
    <w:bookmarkEnd w:id="7"/>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Субъектілердің ішкі бақылау жүйесінің тиімділігін КЖ/ТҚ/ЖҚҚТҚ заңдастыру тәуекелдерін басқару үшін жеткілікті деңгейде қолдау;</w:t>
      </w:r>
    </w:p>
    <w:p>
      <w:pPr>
        <w:spacing w:after="0"/>
        <w:ind w:left="0"/>
        <w:jc w:val="both"/>
      </w:pPr>
      <w:r>
        <w:rPr>
          <w:rFonts w:ascii="Times New Roman"/>
          <w:b w:val="false"/>
          <w:i w:val="false"/>
          <w:color w:val="000000"/>
          <w:sz w:val="28"/>
        </w:rPr>
        <w:t>
      3) КЖ/ТҚ/ЖҚҚТҚ заңдастыру тәуекелдерін азайту мақсатында жүзеге асырылады.</w:t>
      </w:r>
    </w:p>
    <w:bookmarkStart w:name="z13" w:id="8"/>
    <w:p>
      <w:pPr>
        <w:spacing w:after="0"/>
        <w:ind w:left="0"/>
        <w:jc w:val="both"/>
      </w:pPr>
      <w:r>
        <w:rPr>
          <w:rFonts w:ascii="Times New Roman"/>
          <w:b w:val="false"/>
          <w:i w:val="false"/>
          <w:color w:val="000000"/>
          <w:sz w:val="28"/>
        </w:rPr>
        <w:t>
      5. КЖ/ТҚ/ЖҚҚТҚҚІ мақсатында ішкі бақылауды ұйымдастыру шеңберінде Субъектілер:</w:t>
      </w:r>
    </w:p>
    <w:bookmarkEnd w:id="8"/>
    <w:p>
      <w:pPr>
        <w:spacing w:after="0"/>
        <w:ind w:left="0"/>
        <w:jc w:val="both"/>
      </w:pPr>
      <w:r>
        <w:rPr>
          <w:rFonts w:ascii="Times New Roman"/>
          <w:b w:val="false"/>
          <w:i w:val="false"/>
          <w:color w:val="000000"/>
          <w:sz w:val="28"/>
        </w:rPr>
        <w:t>
      1) ұйымның басқару органының немесе атқарушы органының тәуелсіз аудит жүргізуге шешімі болған жағдайда тәуелсіз аудитті,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p>
      <w:pPr>
        <w:spacing w:after="0"/>
        <w:ind w:left="0"/>
        <w:jc w:val="both"/>
      </w:pPr>
      <w:r>
        <w:rPr>
          <w:rFonts w:ascii="Times New Roman"/>
          <w:b w:val="false"/>
          <w:i w:val="false"/>
          <w:color w:val="000000"/>
          <w:sz w:val="28"/>
        </w:rPr>
        <w:t>
      2) бөлінген байланыс арнасының болуын қамтамасыз етіледі.</w:t>
      </w:r>
    </w:p>
    <w:bookmarkStart w:name="z14" w:id="9"/>
    <w:p>
      <w:pPr>
        <w:spacing w:after="0"/>
        <w:ind w:left="0"/>
        <w:jc w:val="both"/>
      </w:pPr>
      <w:r>
        <w:rPr>
          <w:rFonts w:ascii="Times New Roman"/>
          <w:b w:val="false"/>
          <w:i w:val="false"/>
          <w:color w:val="000000"/>
          <w:sz w:val="28"/>
        </w:rPr>
        <w:t>
      6.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9"/>
    <w:bookmarkStart w:name="z15" w:id="10"/>
    <w:p>
      <w:pPr>
        <w:spacing w:after="0"/>
        <w:ind w:left="0"/>
        <w:jc w:val="both"/>
      </w:pPr>
      <w:r>
        <w:rPr>
          <w:rFonts w:ascii="Times New Roman"/>
          <w:b w:val="false"/>
          <w:i w:val="false"/>
          <w:color w:val="000000"/>
          <w:sz w:val="28"/>
        </w:rPr>
        <w:t xml:space="preserve">
      7.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End w:id="10"/>
    <w:bookmarkStart w:name="z16" w:id="11"/>
    <w:p>
      <w:pPr>
        <w:spacing w:after="0"/>
        <w:ind w:left="0"/>
        <w:jc w:val="both"/>
      </w:pPr>
      <w:r>
        <w:rPr>
          <w:rFonts w:ascii="Times New Roman"/>
          <w:b w:val="false"/>
          <w:i w:val="false"/>
          <w:color w:val="000000"/>
          <w:sz w:val="28"/>
        </w:rPr>
        <w:t>
      8.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"2-тарау. Тиісті құрылымдық бөлімше басшысының деңгейінен төмен емес Субъектілердің өзге де басшыларының немесе Субъектілердің басшы қызметкерлер ішінен ІБҚ-ды іске асыруға және сақтауға жауапты тұлғаны тағайындау туралы талапты, сондай-ақ Субъектілердің ІБҚ-ды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"10. КЖ/ТҚ/ЖҚҚТҚҚІ мақсатында ішкі бақылауды ұйымдастыру бағдарламасы рәсімдерді қамтиды:</w:t>
      </w:r>
    </w:p>
    <w:bookmarkEnd w:id="13"/>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операцияларға тоқтатып қою жөнінде шаралар қолдану;</w:t>
      </w:r>
    </w:p>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қаржы мониторингіне жататын операциялар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де мүлікпен операциялар жүргізуден бас тарту фактілерін ұсыну жолымен жүзеге асырылады;</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p>
      <w:pPr>
        <w:spacing w:after="0"/>
        <w:ind w:left="0"/>
        <w:jc w:val="both"/>
      </w:pPr>
      <w:r>
        <w:rPr>
          <w:rFonts w:ascii="Times New Roman"/>
          <w:b w:val="false"/>
          <w:i w:val="false"/>
          <w:color w:val="000000"/>
          <w:sz w:val="28"/>
        </w:rPr>
        <w:t>
      5) Субъект қызметкерлері жол берген, ІБҚ, Қазақстан Республикасы КЖ/ТҚҚ туралы заңнамасының бұзылу фактілерінің оларға белгілі болғаны туралы Субъект қызметкерлерінің басшыны хабардар ету;</w:t>
      </w:r>
    </w:p>
    <w:p>
      <w:pPr>
        <w:spacing w:after="0"/>
        <w:ind w:left="0"/>
        <w:jc w:val="both"/>
      </w:pPr>
      <w:r>
        <w:rPr>
          <w:rFonts w:ascii="Times New Roman"/>
          <w:b w:val="false"/>
          <w:i w:val="false"/>
          <w:color w:val="000000"/>
          <w:sz w:val="28"/>
        </w:rPr>
        <w:t>
      6) КЖ/ТҚ/ЖҚҚТҚҚІ мақсатында ІБҚ-ды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7) ұйымды бақылайтын заңды тұлға белгілеген КЖ/ТҚ/ЖҚҚТҚҚІ (болған жағдайда) бойынша талаптарды орындау;</w:t>
      </w:r>
    </w:p>
    <w:p>
      <w:pPr>
        <w:spacing w:after="0"/>
        <w:ind w:left="0"/>
        <w:jc w:val="both"/>
      </w:pPr>
      <w:r>
        <w:rPr>
          <w:rFonts w:ascii="Times New Roman"/>
          <w:b w:val="false"/>
          <w:i w:val="false"/>
          <w:color w:val="000000"/>
          <w:sz w:val="28"/>
        </w:rPr>
        <w:t>
      8) ұйымды бақылауға ие заңды тұлғамен ұйымның басқару органының немесе атқарушы органының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ұйымның лауазымды тұлғаларына дайындау және ұсыну;</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рәсімдердің ерекшеліктері жеңілдетілген және күшейтілген шараларды қолдану, оның ішінде клиентті (оның өкілін) және бенефициарлық меншік иесін, бейрезидент-заңды тұлғаны, заңды тұлға құрмай өзге де шетелдік құрылымды тиісінше тексеру;</w:t>
      </w:r>
    </w:p>
    <w:p>
      <w:pPr>
        <w:spacing w:after="0"/>
        <w:ind w:left="0"/>
        <w:jc w:val="both"/>
      </w:pPr>
      <w:r>
        <w:rPr>
          <w:rFonts w:ascii="Times New Roman"/>
          <w:b w:val="false"/>
          <w:i w:val="false"/>
          <w:color w:val="000000"/>
          <w:sz w:val="28"/>
        </w:rPr>
        <w:t>
      10)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 жария ету тәуекелдерін төмендету жөніндегі рәсімдерді әзірлеу;</w:t>
      </w:r>
    </w:p>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жіктеу;</w:t>
      </w:r>
    </w:p>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 ретінде пайдалану мүмкіндігі ескеріле отырып, олар уәкілетті органға, сондай-ақ өздерінің құзыретіне сәйкес өзге де мемлекеттік органдарға уақтылы қолжетімді болуы үшін сақталуы тиіс.</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ақпараттандыру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ақпараттандыру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21" w:id="14"/>
    <w:p>
      <w:pPr>
        <w:spacing w:after="0"/>
        <w:ind w:left="0"/>
        <w:jc w:val="both"/>
      </w:pPr>
      <w:r>
        <w:rPr>
          <w:rFonts w:ascii="Times New Roman"/>
          <w:b w:val="false"/>
          <w:i w:val="false"/>
          <w:color w:val="000000"/>
          <w:sz w:val="28"/>
        </w:rPr>
        <w:t>
      11. КЖ/ТҚ/ЖҚҚТҚҚІ мақсатында ішкі бақылауды ұйымдастыру бағдарламасына сәйкес жауапты лауазымды тұлғаның не құрылымдық бөлімшенің функциялары:</w:t>
      </w:r>
    </w:p>
    <w:bookmarkEnd w:id="14"/>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заңдастыру тәуекелдерін басқару және КЖ/ТҚ/ЖҚҚТҚҚІ ішкі бақылау жүйесін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 болып табылады.</w:t>
      </w:r>
    </w:p>
    <w:bookmarkStart w:name="z22" w:id="15"/>
    <w:p>
      <w:pPr>
        <w:spacing w:after="0"/>
        <w:ind w:left="0"/>
        <w:jc w:val="both"/>
      </w:pPr>
      <w:r>
        <w:rPr>
          <w:rFonts w:ascii="Times New Roman"/>
          <w:b w:val="false"/>
          <w:i w:val="false"/>
          <w:color w:val="000000"/>
          <w:sz w:val="28"/>
        </w:rPr>
        <w:t>
      12. Жүктелген функцияларға сәйкес Субъектілер:</w:t>
      </w:r>
    </w:p>
    <w:bookmarkEnd w:id="15"/>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Start w:name="z23" w:id="16"/>
    <w:p>
      <w:pPr>
        <w:spacing w:after="0"/>
        <w:ind w:left="0"/>
        <w:jc w:val="both"/>
      </w:pPr>
      <w:r>
        <w:rPr>
          <w:rFonts w:ascii="Times New Roman"/>
          <w:b w:val="false"/>
          <w:i w:val="false"/>
          <w:color w:val="000000"/>
          <w:sz w:val="28"/>
        </w:rPr>
        <w:t xml:space="preserve">
      13.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16"/>
    <w:bookmarkStart w:name="z24" w:id="17"/>
    <w:p>
      <w:pPr>
        <w:spacing w:after="0"/>
        <w:ind w:left="0"/>
        <w:jc w:val="both"/>
      </w:pPr>
      <w:r>
        <w:rPr>
          <w:rFonts w:ascii="Times New Roman"/>
          <w:b w:val="false"/>
          <w:i w:val="false"/>
          <w:color w:val="000000"/>
          <w:sz w:val="28"/>
        </w:rPr>
        <w:t xml:space="preserve">
      14. Филиалдарда, өкілдіктерде және өзге де оқшауланған құрылымдық бөлімшелерде осы Талаптардың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17"/>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Start w:name="z25" w:id="18"/>
    <w:p>
      <w:pPr>
        <w:spacing w:after="0"/>
        <w:ind w:left="0"/>
        <w:jc w:val="both"/>
      </w:pPr>
      <w:r>
        <w:rPr>
          <w:rFonts w:ascii="Times New Roman"/>
          <w:b w:val="false"/>
          <w:i w:val="false"/>
          <w:color w:val="000000"/>
          <w:sz w:val="28"/>
        </w:rPr>
        <w:t xml:space="preserve">
      15. Осы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9"/>
    <w:p>
      <w:pPr>
        <w:spacing w:after="0"/>
        <w:ind w:left="0"/>
        <w:jc w:val="both"/>
      </w:pPr>
      <w:r>
        <w:rPr>
          <w:rFonts w:ascii="Times New Roman"/>
          <w:b w:val="false"/>
          <w:i w:val="false"/>
          <w:color w:val="000000"/>
          <w:sz w:val="28"/>
        </w:rPr>
        <w:t>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"16.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20"/>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30" w:id="21"/>
    <w:p>
      <w:pPr>
        <w:spacing w:after="0"/>
        <w:ind w:left="0"/>
        <w:jc w:val="both"/>
      </w:pPr>
      <w:r>
        <w:rPr>
          <w:rFonts w:ascii="Times New Roman"/>
          <w:b w:val="false"/>
          <w:i w:val="false"/>
          <w:color w:val="000000"/>
          <w:sz w:val="28"/>
        </w:rPr>
        <w:t>
      17. Мәртебесі және (немесе) қызметі КЖ/ТҚ/ЖҚҚТҚ заңдастыру тәуекелін арттыратын клиенттердің түрлеріне жатады, бірақ олармен шектелмейді:</w:t>
      </w:r>
    </w:p>
    <w:bookmarkEnd w:id="21"/>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клиентті (оның өкілін) және бенефициарлық меншік иесін тиісінше тексеру рәсімдерінен жалтаруға бағытталған іс-әрекеттерді жасайды.</w:t>
      </w:r>
    </w:p>
    <w:bookmarkStart w:name="z31" w:id="22"/>
    <w:p>
      <w:pPr>
        <w:spacing w:after="0"/>
        <w:ind w:left="0"/>
        <w:jc w:val="both"/>
      </w:pPr>
      <w:r>
        <w:rPr>
          <w:rFonts w:ascii="Times New Roman"/>
          <w:b w:val="false"/>
          <w:i w:val="false"/>
          <w:color w:val="000000"/>
          <w:sz w:val="28"/>
        </w:rPr>
        <w:t>
      18.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22"/>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Start w:name="z32" w:id="23"/>
    <w:p>
      <w:pPr>
        <w:spacing w:after="0"/>
        <w:ind w:left="0"/>
        <w:jc w:val="both"/>
      </w:pPr>
      <w:r>
        <w:rPr>
          <w:rFonts w:ascii="Times New Roman"/>
          <w:b w:val="false"/>
          <w:i w:val="false"/>
          <w:color w:val="000000"/>
          <w:sz w:val="28"/>
        </w:rPr>
        <w:t>
      19. Тәуекелді бағалау бағдарламасында клиентке оны сәйкестендіруге қойылатын талаптарды ескере отырып, тәуекел дәрежесін (деңгейін) бағалау және беру рәсімдері айқындалады:</w:t>
      </w:r>
    </w:p>
    <w:bookmarkEnd w:id="23"/>
    <w:p>
      <w:pPr>
        <w:spacing w:after="0"/>
        <w:ind w:left="0"/>
        <w:jc w:val="both"/>
      </w:pPr>
      <w:r>
        <w:rPr>
          <w:rFonts w:ascii="Times New Roman"/>
          <w:b w:val="false"/>
          <w:i w:val="false"/>
          <w:color w:val="000000"/>
          <w:sz w:val="28"/>
        </w:rPr>
        <w:t>
      1) клиентті қызмет көрсетуге қабылдағанға дейін;</w:t>
      </w:r>
    </w:p>
    <w:p>
      <w:pPr>
        <w:spacing w:after="0"/>
        <w:ind w:left="0"/>
        <w:jc w:val="both"/>
      </w:pPr>
      <w:r>
        <w:rPr>
          <w:rFonts w:ascii="Times New Roman"/>
          <w:b w:val="false"/>
          <w:i w:val="false"/>
          <w:color w:val="000000"/>
          <w:sz w:val="28"/>
        </w:rPr>
        <w:t>
      2) клиентке қызмет көрсету барысында (операциялардың (мәмілелердің) жасалуына қарай);</w:t>
      </w:r>
    </w:p>
    <w:p>
      <w:pPr>
        <w:spacing w:after="0"/>
        <w:ind w:left="0"/>
        <w:jc w:val="both"/>
      </w:pPr>
      <w:r>
        <w:rPr>
          <w:rFonts w:ascii="Times New Roman"/>
          <w:b w:val="false"/>
          <w:i w:val="false"/>
          <w:color w:val="000000"/>
          <w:sz w:val="28"/>
        </w:rPr>
        <w:t>
      3) ІБҚ-да көзделген өзге жағдайларда.</w:t>
      </w:r>
    </w:p>
    <w:p>
      <w:pPr>
        <w:spacing w:after="0"/>
        <w:ind w:left="0"/>
        <w:jc w:val="both"/>
      </w:pPr>
      <w:r>
        <w:rPr>
          <w:rFonts w:ascii="Times New Roman"/>
          <w:b w:val="false"/>
          <w:i w:val="false"/>
          <w:color w:val="000000"/>
          <w:sz w:val="28"/>
        </w:rPr>
        <w:t>
      Тәуекелді бағалау бағдарламасы клиентті зерделеу бағдарламасын іске асыру нәтижесінде алынған ақпараттың, сондай-ақ Ақша жылыстатуға қарсы күрестің қаржылық шараларын әзірлеу тобының (ФАТФ) ұсынымдарын ескере отырып, операциялардың белгілерін, КЖ/ТҚ/ЖҚҚТҚ мақсатында клиенттердің операцияларды жасау тәуекелі жоғары қызмет түрлері мен шарттарының негізінде клиенттердің тәуекеліне бағалау жүргізуді көздейді.</w:t>
      </w:r>
    </w:p>
    <w:bookmarkStart w:name="z33" w:id="24"/>
    <w:p>
      <w:pPr>
        <w:spacing w:after="0"/>
        <w:ind w:left="0"/>
        <w:jc w:val="both"/>
      </w:pPr>
      <w:r>
        <w:rPr>
          <w:rFonts w:ascii="Times New Roman"/>
          <w:b w:val="false"/>
          <w:i w:val="false"/>
          <w:color w:val="000000"/>
          <w:sz w:val="28"/>
        </w:rPr>
        <w:t>
      20. Операцияларды анықтау бағдарламасы анықтау процедураларын қарастырады:</w:t>
      </w:r>
    </w:p>
    <w:bookmarkEnd w:id="24"/>
    <w:p>
      <w:pPr>
        <w:spacing w:after="0"/>
        <w:ind w:left="0"/>
        <w:jc w:val="both"/>
      </w:pPr>
      <w:r>
        <w:rPr>
          <w:rFonts w:ascii="Times New Roman"/>
          <w:b w:val="false"/>
          <w:i w:val="false"/>
          <w:color w:val="000000"/>
          <w:sz w:val="28"/>
        </w:rPr>
        <w:t>
      1) қаржы мониторингіне жататын операциялар (мәмілелер);</w:t>
      </w:r>
    </w:p>
    <w:p>
      <w:pPr>
        <w:spacing w:after="0"/>
        <w:ind w:left="0"/>
        <w:jc w:val="both"/>
      </w:pPr>
      <w:r>
        <w:rPr>
          <w:rFonts w:ascii="Times New Roman"/>
          <w:b w:val="false"/>
          <w:i w:val="false"/>
          <w:color w:val="000000"/>
          <w:sz w:val="28"/>
        </w:rPr>
        <w:t>
      2) ерекше операциялар (мәмілелер), оның ішінде жүзеге асырылуы КЖ/ТҚ/ЖҚҚТҚ бағытталуы мүмкін ерекше мәмілелерді анықтау өлшемшарттары мен белгілеріне жатқызылатын ерекше операциялар (мәмілелер) негізінде жүзеге асырылады;</w:t>
      </w:r>
    </w:p>
    <w:p>
      <w:pPr>
        <w:spacing w:after="0"/>
        <w:ind w:left="0"/>
        <w:jc w:val="both"/>
      </w:pPr>
      <w:r>
        <w:rPr>
          <w:rFonts w:ascii="Times New Roman"/>
          <w:b w:val="false"/>
          <w:i w:val="false"/>
          <w:color w:val="000000"/>
          <w:sz w:val="28"/>
        </w:rPr>
        <w:t>
      3) цифрлық активтердің бір немесе бірнеше нысандарын басқа цифрлық активтерге айырбастау;</w:t>
      </w:r>
    </w:p>
    <w:p>
      <w:pPr>
        <w:spacing w:after="0"/>
        <w:ind w:left="0"/>
        <w:jc w:val="both"/>
      </w:pPr>
      <w:r>
        <w:rPr>
          <w:rFonts w:ascii="Times New Roman"/>
          <w:b w:val="false"/>
          <w:i w:val="false"/>
          <w:color w:val="000000"/>
          <w:sz w:val="28"/>
        </w:rPr>
        <w:t>
      4) трансшекаралық төлемдер және цифрлық активтердің аударымдары, сондай-ақ Қазақстан Республикасының аумағында аударымдар;</w:t>
      </w:r>
    </w:p>
    <w:p>
      <w:pPr>
        <w:spacing w:after="0"/>
        <w:ind w:left="0"/>
        <w:jc w:val="both"/>
      </w:pPr>
      <w:r>
        <w:rPr>
          <w:rFonts w:ascii="Times New Roman"/>
          <w:b w:val="false"/>
          <w:i w:val="false"/>
          <w:color w:val="000000"/>
          <w:sz w:val="28"/>
        </w:rPr>
        <w:t>
      5) сандық активтерді немесе сандық активтерді бақылауға мүмкіндік беретін құралдарды жауапты сақтау және/немесе басқару;</w:t>
      </w:r>
    </w:p>
    <w:p>
      <w:pPr>
        <w:spacing w:after="0"/>
        <w:ind w:left="0"/>
        <w:jc w:val="both"/>
      </w:pPr>
      <w:r>
        <w:rPr>
          <w:rFonts w:ascii="Times New Roman"/>
          <w:b w:val="false"/>
          <w:i w:val="false"/>
          <w:color w:val="000000"/>
          <w:sz w:val="28"/>
        </w:rPr>
        <w:t>
      6) эмитенттің цифрлық активтерін ұсынуға және/немесе сатуға байланысты қаржылық қызметтерді ұсынуға және ұсынуға қатысу.</w:t>
      </w:r>
    </w:p>
    <w:bookmarkStart w:name="z34" w:id="25"/>
    <w:p>
      <w:pPr>
        <w:spacing w:after="0"/>
        <w:ind w:left="0"/>
        <w:jc w:val="both"/>
      </w:pPr>
      <w:r>
        <w:rPr>
          <w:rFonts w:ascii="Times New Roman"/>
          <w:b w:val="false"/>
          <w:i w:val="false"/>
          <w:color w:val="000000"/>
          <w:sz w:val="28"/>
        </w:rPr>
        <w:t>
      21. Субъектілер осы тармақта көрсетілген шет мемлекеттерде қызмет жүргізуге, осындай шет мемлекеттерден келген клиенттерге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мынадай жағдайларда жүзеге асырады:</w:t>
      </w:r>
    </w:p>
    <w:bookmarkEnd w:id="25"/>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ұсынымдарын орындамайтын және (немесе) жеткілікті орындамайтын (бұдан әрі – ФАТФ);</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Біріккен Ұлттар Ұйымы (бұдан әрі – БҰҰ) салатын санкцияларға, эмбаргоға және осыған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жүзеге асыратын және белгіленген террористік (экстремистік) ұйымдары бар ұйымдар жатады.</w:t>
      </w:r>
    </w:p>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мемлекеттік органның интернет-ресурсында орналастырылады;</w:t>
      </w:r>
    </w:p>
    <w:p>
      <w:pPr>
        <w:spacing w:after="0"/>
        <w:ind w:left="0"/>
        <w:jc w:val="both"/>
      </w:pPr>
      <w:r>
        <w:rPr>
          <w:rFonts w:ascii="Times New Roman"/>
          <w:b w:val="false"/>
          <w:i w:val="false"/>
          <w:color w:val="000000"/>
          <w:sz w:val="28"/>
        </w:rPr>
        <w:t>
      операциялар бойынша ақшамен және (немесе) өзге мүлікпен;</w:t>
      </w:r>
    </w:p>
    <w:p>
      <w:pPr>
        <w:spacing w:after="0"/>
        <w:ind w:left="0"/>
        <w:jc w:val="both"/>
      </w:pPr>
      <w:r>
        <w:rPr>
          <w:rFonts w:ascii="Times New Roman"/>
          <w:b w:val="false"/>
          <w:i w:val="false"/>
          <w:color w:val="000000"/>
          <w:sz w:val="28"/>
        </w:rPr>
        <w:t>
      тараптардың физикалық қатысуынсыз жүзеге асырылатын;</w:t>
      </w:r>
    </w:p>
    <w:p>
      <w:pPr>
        <w:spacing w:after="0"/>
        <w:ind w:left="0"/>
        <w:jc w:val="both"/>
      </w:pPr>
      <w:r>
        <w:rPr>
          <w:rFonts w:ascii="Times New Roman"/>
          <w:b w:val="false"/>
          <w:i w:val="false"/>
          <w:color w:val="000000"/>
          <w:sz w:val="28"/>
        </w:rPr>
        <w:t>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жасырын банктік шоттармен немесе қолма-қол есеп айырысуды қоса алғанда, жасырын, жалған есімдерді пайдаланумен байланысты;</w:t>
      </w:r>
    </w:p>
    <w:p>
      <w:pPr>
        <w:spacing w:after="0"/>
        <w:ind w:left="0"/>
        <w:jc w:val="both"/>
      </w:pPr>
      <w:r>
        <w:rPr>
          <w:rFonts w:ascii="Times New Roman"/>
          <w:b w:val="false"/>
          <w:i w:val="false"/>
          <w:color w:val="000000"/>
          <w:sz w:val="28"/>
        </w:rPr>
        <w:t>
      сандық активтермен операцияларды жүзеге асыру кезінде жеке байланыстың болмауы, сандық активтермен байланысты өнімдер немесе қызметтер;</w:t>
      </w:r>
    </w:p>
    <w:p>
      <w:pPr>
        <w:spacing w:after="0"/>
        <w:ind w:left="0"/>
        <w:jc w:val="both"/>
      </w:pPr>
      <w:r>
        <w:rPr>
          <w:rFonts w:ascii="Times New Roman"/>
          <w:b w:val="false"/>
          <w:i w:val="false"/>
          <w:color w:val="000000"/>
          <w:sz w:val="28"/>
        </w:rPr>
        <w:t>
      егер бенефициарларды сәйкестендіру (белгілеу) бойынша цифрлық активтермен қызметті жүзеге асыратын тұлғалардың мүмкіндіктерін шектесе, бүркеншік атпен операцияларды жүзеге асыру немесе операциялардың анонимділігінің жоғары дәрежесі;</w:t>
      </w:r>
    </w:p>
    <w:p>
      <w:pPr>
        <w:spacing w:after="0"/>
        <w:ind w:left="0"/>
        <w:jc w:val="both"/>
      </w:pPr>
      <w:r>
        <w:rPr>
          <w:rFonts w:ascii="Times New Roman"/>
          <w:b w:val="false"/>
          <w:i w:val="false"/>
          <w:color w:val="000000"/>
          <w:sz w:val="28"/>
        </w:rPr>
        <w:t>
      экономикалық мағынасы немесе заңды мақсаты жоқ;</w:t>
      </w:r>
    </w:p>
    <w:p>
      <w:pPr>
        <w:spacing w:after="0"/>
        <w:ind w:left="0"/>
        <w:jc w:val="both"/>
      </w:pPr>
      <w:r>
        <w:rPr>
          <w:rFonts w:ascii="Times New Roman"/>
          <w:b w:val="false"/>
          <w:i w:val="false"/>
          <w:color w:val="000000"/>
          <w:sz w:val="28"/>
        </w:rPr>
        <w:t>
      оған тән емес жиілікпен немесе осы клиент үшін ірі сомаға клиент жасайтын;</w:t>
      </w:r>
    </w:p>
    <w:p>
      <w:pPr>
        <w:spacing w:after="0"/>
        <w:ind w:left="0"/>
        <w:jc w:val="both"/>
      </w:pPr>
      <w:r>
        <w:rPr>
          <w:rFonts w:ascii="Times New Roman"/>
          <w:b w:val="false"/>
          <w:i w:val="false"/>
          <w:color w:val="000000"/>
          <w:sz w:val="28"/>
        </w:rPr>
        <w:t>
      олар бойынша КЖ/ТҚ/ЖҚҚТҚ заңдастырудың жоғары тәуекелі туралы ақпарат бар.</w:t>
      </w:r>
    </w:p>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Start w:name="z35" w:id="26"/>
    <w:p>
      <w:pPr>
        <w:spacing w:after="0"/>
        <w:ind w:left="0"/>
        <w:jc w:val="both"/>
      </w:pPr>
      <w:r>
        <w:rPr>
          <w:rFonts w:ascii="Times New Roman"/>
          <w:b w:val="false"/>
          <w:i w:val="false"/>
          <w:color w:val="000000"/>
          <w:sz w:val="28"/>
        </w:rPr>
        <w:t xml:space="preserve">
      22.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26"/>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жоғары деген кемінде екі деңгейден тұратын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36" w:id="27"/>
    <w:p>
      <w:pPr>
        <w:spacing w:after="0"/>
        <w:ind w:left="0"/>
        <w:jc w:val="both"/>
      </w:pPr>
      <w:r>
        <w:rPr>
          <w:rFonts w:ascii="Times New Roman"/>
          <w:b w:val="false"/>
          <w:i w:val="false"/>
          <w:color w:val="000000"/>
          <w:sz w:val="28"/>
        </w:rPr>
        <w:t>
      23. Субъектілер КЖ/ТҚ/ЖҚҚТҚ заңдастыру кезінде туындайтын тәуекелдерді анықтайды және бағалайды:</w:t>
      </w:r>
    </w:p>
    <w:bookmarkEnd w:id="27"/>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немесе дамып келе жатқан технологияларды жаңа және бұрыннан бар өнімдер үшін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37" w:id="28"/>
    <w:p>
      <w:pPr>
        <w:spacing w:after="0"/>
        <w:ind w:left="0"/>
        <w:jc w:val="both"/>
      </w:pPr>
      <w:r>
        <w:rPr>
          <w:rFonts w:ascii="Times New Roman"/>
          <w:b w:val="false"/>
          <w:i w:val="false"/>
          <w:color w:val="000000"/>
          <w:sz w:val="28"/>
        </w:rPr>
        <w:t>
      24.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bookmarkEnd w:id="28"/>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38" w:id="29"/>
    <w:p>
      <w:pPr>
        <w:spacing w:after="0"/>
        <w:ind w:left="0"/>
        <w:jc w:val="both"/>
      </w:pPr>
      <w:r>
        <w:rPr>
          <w:rFonts w:ascii="Times New Roman"/>
          <w:b w:val="false"/>
          <w:i w:val="false"/>
          <w:color w:val="000000"/>
          <w:sz w:val="28"/>
        </w:rPr>
        <w:t>
      25.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29"/>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Start w:name="z39" w:id="30"/>
    <w:p>
      <w:pPr>
        <w:spacing w:after="0"/>
        <w:ind w:left="0"/>
        <w:jc w:val="both"/>
      </w:pPr>
      <w:r>
        <w:rPr>
          <w:rFonts w:ascii="Times New Roman"/>
          <w:b w:val="false"/>
          <w:i w:val="false"/>
          <w:color w:val="000000"/>
          <w:sz w:val="28"/>
        </w:rPr>
        <w:t>
      26. Субъектілердің клиентті (оның өкілін) және бенефициарлық меншік иесін тиісінше тексеруі үшін қажетті құжаттар тізбесі:</w:t>
      </w:r>
    </w:p>
    <w:bookmarkEnd w:id="30"/>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 ;</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xml:space="preserve">
      "28.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31"/>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Start w:name="z42" w:id="32"/>
    <w:p>
      <w:pPr>
        <w:spacing w:after="0"/>
        <w:ind w:left="0"/>
        <w:jc w:val="both"/>
      </w:pPr>
      <w:r>
        <w:rPr>
          <w:rFonts w:ascii="Times New Roman"/>
          <w:b w:val="false"/>
          <w:i w:val="false"/>
          <w:color w:val="000000"/>
          <w:sz w:val="28"/>
        </w:rPr>
        <w:t xml:space="preserve">
      29.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26-тармағына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32"/>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43" w:id="33"/>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33"/>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44" w:id="34"/>
    <w:p>
      <w:pPr>
        <w:spacing w:after="0"/>
        <w:ind w:left="0"/>
        <w:jc w:val="both"/>
      </w:pPr>
      <w:r>
        <w:rPr>
          <w:rFonts w:ascii="Times New Roman"/>
          <w:b w:val="false"/>
          <w:i w:val="false"/>
          <w:color w:val="000000"/>
          <w:sz w:val="28"/>
        </w:rPr>
        <w:t>
      31.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34"/>
    <w:bookmarkStart w:name="z45" w:id="35"/>
    <w:p>
      <w:pPr>
        <w:spacing w:after="0"/>
        <w:ind w:left="0"/>
        <w:jc w:val="both"/>
      </w:pPr>
      <w:r>
        <w:rPr>
          <w:rFonts w:ascii="Times New Roman"/>
          <w:b w:val="false"/>
          <w:i w:val="false"/>
          <w:color w:val="000000"/>
          <w:sz w:val="28"/>
        </w:rPr>
        <w:t>
      32. Клиенттердің операцияларын мониторингтеу және зерделеу бағдарламасы мыналарды қамтиды:</w:t>
      </w:r>
    </w:p>
    <w:bookmarkEnd w:id="35"/>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операциясын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(олардың өкілдерін)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Start w:name="z46" w:id="36"/>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бағдарламасының шеңберінде Субъектілер КЖ/ТҚ/ЖҚҚТҚ заңдастыру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36"/>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Start w:name="z47" w:id="37"/>
    <w:p>
      <w:pPr>
        <w:spacing w:after="0"/>
        <w:ind w:left="0"/>
        <w:jc w:val="both"/>
      </w:pPr>
      <w:r>
        <w:rPr>
          <w:rFonts w:ascii="Times New Roman"/>
          <w:b w:val="false"/>
          <w:i w:val="false"/>
          <w:color w:val="000000"/>
          <w:sz w:val="28"/>
        </w:rPr>
        <w:t xml:space="preserve">
      34.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операцияларды (операцияны)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bookmarkEnd w:id="37"/>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Start w:name="z48" w:id="38"/>
    <w:p>
      <w:pPr>
        <w:spacing w:after="0"/>
        <w:ind w:left="0"/>
        <w:jc w:val="both"/>
      </w:pPr>
      <w:r>
        <w:rPr>
          <w:rFonts w:ascii="Times New Roman"/>
          <w:b w:val="false"/>
          <w:i w:val="false"/>
          <w:color w:val="000000"/>
          <w:sz w:val="28"/>
        </w:rPr>
        <w:t xml:space="preserve">
      35.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38"/>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0" w:id="39"/>
    <w:p>
      <w:pPr>
        <w:spacing w:after="0"/>
        <w:ind w:left="0"/>
        <w:jc w:val="both"/>
      </w:pPr>
      <w:r>
        <w:rPr>
          <w:rFonts w:ascii="Times New Roman"/>
          <w:b w:val="false"/>
          <w:i w:val="false"/>
          <w:color w:val="000000"/>
          <w:sz w:val="28"/>
        </w:rPr>
        <w:t>
      "6-тарау. КЖ/ТҚ/ЖҚҚТҚҚІ саласында Субъектілерді даярлау және оқыту бағдарламасы";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"36.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40"/>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алынып тасталсын.</w:t>
      </w:r>
    </w:p>
    <w:bookmarkStart w:name="z54" w:id="41"/>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41"/>
    <w:bookmarkStart w:name="z55" w:id="4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2"/>
    <w:bookmarkStart w:name="z56" w:id="43"/>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43"/>
    <w:bookmarkStart w:name="z57" w:id="44"/>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