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25a7" w14:textId="1302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"Кондоминиум объектісінің ортақ мүлкін күтіп-ұстау қағидаларын бекіту туралы" 2015 жылғы 19 ақпандағы № 108 және "Тұрғын үй инспекциясы туралы үлгі ережені бекіту туралы" 2015 жылғы 20 наурыздағы № 241 бұйрықтарына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6 қыркүйектегі № 492 бұйрығы. Қазақстан Республикасының Әділет министрлігінде 2022 жылғы 13 қыркүйекте № 29546 болып тіркелді</w:t>
      </w:r>
    </w:p>
    <w:p>
      <w:pPr>
        <w:spacing w:after="0"/>
        <w:ind w:left="0"/>
        <w:jc w:val="both"/>
      </w:pPr>
      <w:bookmarkStart w:name="z1" w:id="0"/>
      <w:r>
        <w:rPr>
          <w:rFonts w:ascii="Times New Roman"/>
          <w:b w:val="false"/>
          <w:i w:val="false"/>
          <w:color w:val="000000"/>
          <w:sz w:val="28"/>
        </w:rPr>
        <w:t>
      БҰЙРАМЫН: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10528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объектісінің ортақ мүлкін күтіп-ұстау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"35. Пәтерлерді, тұрғын емес үй-жайларды қайта жабдықтау және (немесе) қайта жоспарлау кезінде, егер өзгерістер:</w:t>
      </w:r>
    </w:p>
    <w:bookmarkEnd w:id="1"/>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міндетті жазбаша келісімі талап етіледі.</w:t>
      </w:r>
    </w:p>
    <w:p>
      <w:pPr>
        <w:spacing w:after="0"/>
        <w:ind w:left="0"/>
        <w:jc w:val="both"/>
      </w:pPr>
      <w:r>
        <w:rPr>
          <w:rFonts w:ascii="Times New Roman"/>
          <w:b w:val="false"/>
          <w:i w:val="false"/>
          <w:color w:val="000000"/>
          <w:sz w:val="28"/>
        </w:rPr>
        <w:t>
      Осы тармақтың бірінші бөлігінде көрсетілген өзгерістер мүгедектігі бар адамдардың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инспекциясы туралы үлгі ережені бекіту туралы" Қазақстан Республикасы Ұлттық экономика министрінің 2015 жылғы 20 наурыздағы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10571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Тұрғын үй инспекциясы туралы үлгі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"15. Тұрғын үй инспекциясы өзіне жүктелген өкілеттіктерге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траволаторларды, мүмкіндіктері шектеулі адамдарға (мүгедектігі бар адамдарға) арналған көтергіштерді қауіпсіз пайдалануға мемлекеттік қадағалауды жүзеге асырады.".</w:t>
      </w:r>
    </w:p>
    <w:bookmarkEnd w:id="2"/>
    <w:bookmarkStart w:name="z10"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