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9c9f" w14:textId="f769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26 тамыздағы № 273 және Қазақстан Республикасы Ұлттық экономика министрінің 2022 жылғы 27 тамыздағы № 61 бірлескен бұйрығы. Қазақстан Республикасының Әділет министрлігінде 2022 жылғы 7 қыркүйекте № 29447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ветеринария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ветеринария саласындағы тәуекел дәрежесін бағалау өлшемшарттары (бұдан әрі – Өлшемшарттар)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және тексеру парақтарының нысандарына сәйкес бақылау және қадағалау субъектілерін (объектілерін) тәуекел дәрежелеріне жатқызу және бақылау және қадағалау субъектісіне (объектісіне) бару арқылы профилактикалық бақылау жүргізу кезінде бақылау және қадағалау субъектілерін (объектілерін) іріктеу үшін әзірленді.";</w:t>
      </w:r>
    </w:p>
    <w:bookmarkEnd w:id="4"/>
    <w:bookmarkStart w:name="z8"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"9) өрескел бұзушылық – "Әкімшілік құқық бұзушылық туралы" Қазақстан Республикасының Кодексінде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арыздардың болуы, сондай-ақ Еуразиялық экономикалық одақтың ветеринария саласындағы талаптарын бұзу.";</w:t>
      </w:r>
    </w:p>
    <w:bookmarkEnd w:id="6"/>
    <w:bookmarkStart w:name="z10" w:id="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Курманов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тамыздағы № 61</w:t>
            </w:r>
            <w:r>
              <w:br/>
            </w: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26 тамыздағы</w:t>
            </w:r>
            <w:r>
              <w:br/>
            </w:r>
            <w:r>
              <w:rPr>
                <w:rFonts w:ascii="Times New Roman"/>
                <w:b w:val="false"/>
                <w:i w:val="false"/>
                <w:color w:val="000000"/>
                <w:sz w:val="20"/>
              </w:rPr>
              <w:t>№ 273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19" w:id="13"/>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субъективті өлшемшарттар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есептілікті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келетін жеке нөмірлері көрсетілген вакциналау, аллергиялық зерттеулер, өңдеу жүргізілген жануарлар актілерінің, тізімдемелерінің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p>
          <w:p>
            <w:pPr>
              <w:spacing w:after="20"/>
              <w:ind w:left="20"/>
              <w:jc w:val="both"/>
            </w:pPr>
            <w:r>
              <w:rPr>
                <w:rFonts w:ascii="Times New Roman"/>
                <w:b w:val="false"/>
                <w:i w:val="false"/>
                <w:color w:val="000000"/>
                <w:sz w:val="20"/>
              </w:rPr>
              <w:t>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w:t>
            </w:r>
          </w:p>
          <w:p>
            <w:pPr>
              <w:spacing w:after="20"/>
              <w:ind w:left="20"/>
              <w:jc w:val="both"/>
            </w:pPr>
            <w:r>
              <w:rPr>
                <w:rFonts w:ascii="Times New Roman"/>
                <w:b w:val="false"/>
                <w:i w:val="false"/>
                <w:color w:val="000000"/>
                <w:sz w:val="20"/>
              </w:rPr>
              <w:t>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w:t>
            </w:r>
          </w:p>
          <w:p>
            <w:pPr>
              <w:spacing w:after="20"/>
              <w:ind w:left="20"/>
              <w:jc w:val="both"/>
            </w:pPr>
            <w:r>
              <w:rPr>
                <w:rFonts w:ascii="Times New Roman"/>
                <w:b w:val="false"/>
                <w:i w:val="false"/>
                <w:color w:val="000000"/>
                <w:sz w:val="20"/>
              </w:rPr>
              <w:t>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p>
          <w:p>
            <w:pPr>
              <w:spacing w:after="20"/>
              <w:ind w:left="20"/>
              <w:jc w:val="both"/>
            </w:pPr>
            <w:r>
              <w:rPr>
                <w:rFonts w:ascii="Times New Roman"/>
                <w:b w:val="false"/>
                <w:i w:val="false"/>
                <w:color w:val="000000"/>
                <w:sz w:val="20"/>
              </w:rPr>
              <w:t>
1) суық және ыстық таңбалауды жүргізуге арналған аппарат;</w:t>
            </w:r>
          </w:p>
          <w:p>
            <w:pPr>
              <w:spacing w:after="20"/>
              <w:ind w:left="20"/>
              <w:jc w:val="both"/>
            </w:pPr>
            <w:r>
              <w:rPr>
                <w:rFonts w:ascii="Times New Roman"/>
                <w:b w:val="false"/>
                <w:i w:val="false"/>
                <w:color w:val="000000"/>
                <w:sz w:val="20"/>
              </w:rPr>
              <w:t>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арналған тұзақ құралдарының болуы және оларды аулау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 сақтау: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w:t>
            </w:r>
          </w:p>
          <w:p>
            <w:pPr>
              <w:spacing w:after="20"/>
              <w:ind w:left="20"/>
              <w:jc w:val="both"/>
            </w:pPr>
            <w:r>
              <w:rPr>
                <w:rFonts w:ascii="Times New Roman"/>
                <w:b w:val="false"/>
                <w:i w:val="false"/>
                <w:color w:val="000000"/>
                <w:sz w:val="20"/>
              </w:rPr>
              <w:t>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 сақтау:</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p>
          <w:p>
            <w:pPr>
              <w:spacing w:after="20"/>
              <w:ind w:left="20"/>
              <w:jc w:val="both"/>
            </w:pPr>
            <w:r>
              <w:rPr>
                <w:rFonts w:ascii="Times New Roman"/>
                <w:b w:val="false"/>
                <w:i w:val="false"/>
                <w:color w:val="000000"/>
                <w:sz w:val="20"/>
              </w:rPr>
              <w:t>
2) жануарлардың ауруларын тіркеуге арналған журнал (ветесепке алу,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p>
          <w:p>
            <w:pPr>
              <w:spacing w:after="20"/>
              <w:ind w:left="20"/>
              <w:jc w:val="both"/>
            </w:pPr>
            <w:r>
              <w:rPr>
                <w:rFonts w:ascii="Times New Roman"/>
                <w:b w:val="false"/>
                <w:i w:val="false"/>
                <w:color w:val="000000"/>
                <w:sz w:val="20"/>
              </w:rPr>
              <w:t>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кінәсынан туындаған ыңғайсыз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жануарлардың инфекциялық және паразитарлық ауруларының дамуына және таралуына, сондай-ақ жануарлардың қырылуына, адамдардың және жануарлардың ауруға шалдығуына немесе жұқтыруына алып ететін жануарлардың аса қауіпті, жұқпалы емес және энзоотиялық ауруларына қарсы ветеринариялық-санитариялық іс-шаралардың жүргізілмеу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Қазақстан Республикасының ветеринария саласындағы заңнамасын сақтамау фактілері бойынша бір немесе одан да көп расталған шағымның және (немесе) арыздың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және қадағалау аясында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мәліметтерін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бұзу фактілері туралы бұқаралық ақпарат құралдарында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құрылысын жергілікті атқарушы органдар ұйымдастырған мал қорымдарын (биотермиялық шұңқырларды) ұстаудың бұзушылықтары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анықтамаларды беруді ресімдеу талаптарының бұзушылықтары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 мен адамдардың ауруға шалдығуына, топырақтың, судың және өсімдік жабынының ластануына алып келетін ветеринариялық препараттарды пайдалану және сақтау шарттарын сақтамауының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құрылысын жергілікті атқарушы органдар ұйымдастырған сою алаңдарын (ауыл шаруашалығы жануарларын сою алаңы) ұстауының бұзушылықтары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ветеринариялық (ветеринариялық-санитариялық) профилактикалық іс-шаралардың уақытында жүргізілмеуі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тамыздағы № 61</w:t>
            </w:r>
            <w:r>
              <w:br/>
            </w: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26 тамыздағы</w:t>
            </w:r>
            <w:r>
              <w:br/>
            </w:r>
            <w:r>
              <w:rPr>
                <w:rFonts w:ascii="Times New Roman"/>
                <w:b w:val="false"/>
                <w:i w:val="false"/>
                <w:color w:val="000000"/>
                <w:sz w:val="20"/>
              </w:rPr>
              <w:t>№ 273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22" w:id="14"/>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қатысты ветеринария саласындағы субъективті өлшемшарттар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есептілікті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өнiм мен шикiзатты өндіруді, дайындауды (союды), сақтауды, қайта өңдеудi және өткiзудi жүзеге асыратын объектiлерде жануарлардан алынатын өнiм мен шикiзаттың ветеринариялық-санитариялық сараптамасы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сауда объектiлерiнде (базарларда) жануарлардан алынатын өнiм мен шикiзатты ветеринариялық-санитариялық сараптау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бойынша алынған биопрепараттардың болуы және оларды жұмсау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ветеринариялық биологиялық препараттарды өндiруi туралы есепті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қолдану және азық пен азықтық қоспаларды пайдалану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объектiлердi салу, лицензиялау, ветеринария саласында қызмет көрсететін ветеринариялық дәрігерлердің саны және жануарларды бiрдейлендiру мәселелерi туралы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бару арқылы жүргізілген алдыңғы тексерулердің және профилактикалық бақылау және қадағалаудың нәтижелері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аса қауіпті ауруларының профилактикасы бойынша ветеринариялық препараттарды (ветеринариялық препараттардың республикалық қорын қоспағанда) сақтауды, тасымалдауды (жеткізуді) ұйымдастыру жөніндегі талапты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өндіріс объектісіне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оларға зерттеп-қарау жүргізілгені туралы эпизоотологиялық зерттеп-қарау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санитариялық союды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бірдейлендіру жүргізуге арналған бұйымдар (құралдар) мен атрибуттарды тасымалдау (жеткізу) жөніндегі көрсетілетін қызметтерді мемлекеттік сатып алуды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жануарлардың энзоотиялық ауруларының профилактикасы мен диагностикасы бойынша ветеринариялық препараттарды мемлекеттік сатып алуды, ветеринариялық препараттардың профилактикасы мен диагностикасы, оларды сақтауды және тасымалдауды (жеткізу) ұйымдастыру бойынша көрсетілетін қызметтерді, жануарлардың энзоотиялық ауруларының профилактикасы мен диагностикасы бойынша ветеринариялық іс-шаралар жүргізуді жүзеге асыру бойынша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Мерзімдерін көрсете отырып, ауыл шаруашылығы жануарларын бірдейлендіруді ұйымдастыру мен жүргізу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дерекқордың жүргізілуін ұйымдастыру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журналдарының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ветеринариялық-санитариялық қорытындыларды есепке алудың болуы, олардың көшірмелері және түбіртектері үш жыл сақталуы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субъектінің кінәсынан туындаған қолайсыз оқиғалардың болуы (жануарлардың инфекциялық, паразиттік аурулары жағдайларының туындауы, жануарлардың кенеттен және жаппай қырылуы)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ветеринариялық-санитариялық қауіпсіздікті қамтамасыз етуге бағытталған, салдарлары жануарлардың инфекциялық, паразитарлық және энзоотиялық ауруларының таралуына, сондай-ақ ветеринариялық іс-шараларды орындау және (немесе) жүргізу салдарынан адамдардың және жануарлардың ауруына немесе улануына алып келетін ветеринариялық іс-шараларды орындауды және (немесе) жүргізуді ұйымдастырудың қамтамасыз етілмеу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Құзыреті шегінде ветеринария саласындағы талаптардың сақталмау фактілері бойынша бір немесе одан да көп расталған шағымның және (немесе) өтінімнің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профилактикалық бақылау және қадағалау шеңберінде берілген ұсынымдардың орындалуы жөнінде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ақпаратын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ветеринариялық іс-шараларды жүргізуді ұйымдастыруды қамтамасыз етпеу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ауру жануарларды санитариялық союды ұйымдастыруды жүргізбеуінің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жануарлардың саулығы мен адамның денсаулығына қауiп төндiретін жануарларды, жануарлардан алынатын өнiм мен шикiзатты алып қоймай залалсыздандыруды (зарарсыздандыруды) және өңдеуді қамтамасыз етпеуі туралы бұзушылықтың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денсаулық сақтау саласындағы уәкілетті мемлекеттік органмен бірлесіп халықтың денсаулығын жануарлар мен адамға ортақ аурулардан қорғауды ұйымдастыруды жүргізбеу бұзушылықтарының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ауыл шаруашылығы жануарларын бірдейлендіруді жүргізуге арналған бұйымдарға (құралдарға) және атрибуттарға деген қажеттілікті айқындамау және процессингтік орталыққа ақпарат бермеу фактілері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тамыздағы № 61</w:t>
            </w:r>
            <w:r>
              <w:br/>
            </w: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26 тамыздағы</w:t>
            </w:r>
            <w:r>
              <w:br/>
            </w:r>
            <w:r>
              <w:rPr>
                <w:rFonts w:ascii="Times New Roman"/>
                <w:b w:val="false"/>
                <w:i w:val="false"/>
                <w:color w:val="000000"/>
                <w:sz w:val="20"/>
              </w:rPr>
              <w:t>№ 273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25</w:t>
            </w:r>
            <w:r>
              <w:br/>
            </w:r>
            <w:r>
              <w:rPr>
                <w:rFonts w:ascii="Times New Roman"/>
                <w:b w:val="false"/>
                <w:i w:val="false"/>
                <w:color w:val="000000"/>
                <w:sz w:val="20"/>
              </w:rPr>
              <w:t>желтоқсандағы №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bookmarkStart w:name="z25" w:id="15"/>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bookmarkEnd w:id="15"/>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дерекқордағы мәліметтерге сәйкес келетін жеке нөмірлері көрсетілген, вакциналау, аллергиялық зерттеулер, өңдеу жүргізілген жануарлар актілерінің, тізімдемелерінің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w:t>
            </w:r>
          </w:p>
          <w:p>
            <w:pPr>
              <w:spacing w:after="20"/>
              <w:ind w:left="20"/>
              <w:jc w:val="both"/>
            </w:pPr>
            <w:r>
              <w:rPr>
                <w:rFonts w:ascii="Times New Roman"/>
                <w:b w:val="false"/>
                <w:i w:val="false"/>
                <w:color w:val="000000"/>
                <w:sz w:val="20"/>
              </w:rPr>
              <w:t>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w:t>
            </w:r>
          </w:p>
          <w:p>
            <w:pPr>
              <w:spacing w:after="20"/>
              <w:ind w:left="20"/>
              <w:jc w:val="both"/>
            </w:pPr>
            <w:r>
              <w:rPr>
                <w:rFonts w:ascii="Times New Roman"/>
                <w:b w:val="false"/>
                <w:i w:val="false"/>
                <w:color w:val="000000"/>
                <w:sz w:val="20"/>
              </w:rPr>
              <w:t>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сақталуы тиіс берілген ветеринариялық анықтамалардың, көшірмелер мен түбіртектерді есепке алудың және берудің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төменгі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w:t>
            </w:r>
          </w:p>
          <w:p>
            <w:pPr>
              <w:spacing w:after="20"/>
              <w:ind w:left="20"/>
              <w:jc w:val="both"/>
            </w:pPr>
            <w:r>
              <w:rPr>
                <w:rFonts w:ascii="Times New Roman"/>
                <w:b w:val="false"/>
                <w:i w:val="false"/>
                <w:color w:val="000000"/>
                <w:sz w:val="20"/>
              </w:rPr>
              <w:t>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қозғалысын есепке алудың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 сақтау:</w:t>
            </w:r>
          </w:p>
          <w:p>
            <w:pPr>
              <w:spacing w:after="20"/>
              <w:ind w:left="20"/>
              <w:jc w:val="both"/>
            </w:pPr>
            <w:r>
              <w:rPr>
                <w:rFonts w:ascii="Times New Roman"/>
                <w:b w:val="false"/>
                <w:i w:val="false"/>
                <w:color w:val="000000"/>
                <w:sz w:val="20"/>
              </w:rPr>
              <w:t>
1) суық және ыстық таңбалауды жүргізуге арналған аппарат;</w:t>
            </w:r>
          </w:p>
          <w:p>
            <w:pPr>
              <w:spacing w:after="20"/>
              <w:ind w:left="20"/>
              <w:jc w:val="both"/>
            </w:pPr>
            <w:r>
              <w:rPr>
                <w:rFonts w:ascii="Times New Roman"/>
                <w:b w:val="false"/>
                <w:i w:val="false"/>
                <w:color w:val="000000"/>
                <w:sz w:val="20"/>
              </w:rPr>
              <w:t>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аулауға және жоюға арналған тұзақ құралдарының болуы және оларды аулау және жою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жарасынан өлген жануарлардың өлекселері көмілетін мал қорымдарын қоспағанда, мал қорымдарын (биотермиялық шұңқырларды) мынадай ветеринариялық (ветеринариялық-санитариялық) талаптарға сәйкес ұстау жөніндегі талаптарды сақтау:</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w:t>
            </w:r>
          </w:p>
          <w:p>
            <w:pPr>
              <w:spacing w:after="20"/>
              <w:ind w:left="20"/>
              <w:jc w:val="both"/>
            </w:pPr>
            <w:r>
              <w:rPr>
                <w:rFonts w:ascii="Times New Roman"/>
                <w:b w:val="false"/>
                <w:i w:val="false"/>
                <w:color w:val="000000"/>
                <w:sz w:val="20"/>
              </w:rPr>
              <w:t>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 сақтау:</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толтырылуы:</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w:t>
            </w:r>
          </w:p>
          <w:p>
            <w:pPr>
              <w:spacing w:after="20"/>
              <w:ind w:left="20"/>
              <w:jc w:val="both"/>
            </w:pPr>
            <w:r>
              <w:rPr>
                <w:rFonts w:ascii="Times New Roman"/>
                <w:b w:val="false"/>
                <w:i w:val="false"/>
                <w:color w:val="000000"/>
                <w:sz w:val="20"/>
              </w:rPr>
              <w:t>
2) жануарлардың ауруларын тіркеуге арналған журнал (ветесепке алу, № 2-вет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w:t>
            </w:r>
          </w:p>
          <w:p>
            <w:pPr>
              <w:spacing w:after="20"/>
              <w:ind w:left="20"/>
              <w:jc w:val="both"/>
            </w:pPr>
            <w:r>
              <w:rPr>
                <w:rFonts w:ascii="Times New Roman"/>
                <w:b w:val="false"/>
                <w:i w:val="false"/>
                <w:color w:val="000000"/>
                <w:sz w:val="20"/>
              </w:rPr>
              <w:t>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 _____________  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27 тамыздағы № 61</w:t>
            </w:r>
            <w:r>
              <w:br/>
            </w: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26 тамыздағы</w:t>
            </w:r>
            <w:r>
              <w:br/>
            </w:r>
            <w:r>
              <w:rPr>
                <w:rFonts w:ascii="Times New Roman"/>
                <w:b w:val="false"/>
                <w:i w:val="false"/>
                <w:color w:val="000000"/>
                <w:sz w:val="20"/>
              </w:rPr>
              <w:t>№ 273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25</w:t>
            </w:r>
            <w:r>
              <w:br/>
            </w:r>
            <w:r>
              <w:rPr>
                <w:rFonts w:ascii="Times New Roman"/>
                <w:b w:val="false"/>
                <w:i w:val="false"/>
                <w:color w:val="000000"/>
                <w:sz w:val="20"/>
              </w:rPr>
              <w:t>желтоқсандағы № 7-1/1130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bookmarkStart w:name="z28" w:id="16"/>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қатысты ветеринария саласындағы тексеру парағы</w:t>
      </w:r>
    </w:p>
    <w:bookmarkEnd w:id="16"/>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 акт_______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ауруларының профилактикасына арналған ветеринариялық препараттарды (ветеринариялық препараттардың республикалық қорын қоспағанда) сақтауды, тасымалдауды (жеткізуді) ұйымдастыру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оларға зерттеп-қарау жүргізілгені туралы эпизоотологиялық зерттеп-қарау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күтіп-бағуды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бірдейлендіру жүргізуге арналған бұйымдар (құралдар) мен атрибуттарды тасымалдау (жеткізу) жөніндегі көрсетілетін қызметтерді мемлекеттік сатып алуды жүзеге асыру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жануарлардың энзоотиялық ауруларының профилактикасы мен диагностикасы бойынша ветеринариялық препараттарды мемлекеттік сатып алуды, ветеринариялық препараттардың профилактикасы мен диагностикасы, оларды сақтауды және тасымалдауды (жеткізу) ұйымдастыру бойынша көрсетілетін қызметтерді, жануарлардың энзоотиялық ауруларының профилактикасы мен диагностикасы бойынша ветеринариялық іс-шаралар жүргізуді жүзеге асыру бойынша талапты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Мерзімдерін көрсете отырып, ауыл шаруашылығы жануарларын бірдейлендіруді ұйымдастыру мен жүргізу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 қаражаты есебінен жүзеге асырылатын жануарлардың энзоотиялық ауруларының бекітілген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жүргізуді ұйымдастыру бойынша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сақталуы тиіс берілген ветеринариялық анықтамаларды, көшірмелер мен түбіртектерді есепке алудың және берудің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 _____________  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субъектінің (объектінің) басшысы</w:t>
      </w:r>
    </w:p>
    <w:p>
      <w:pPr>
        <w:spacing w:after="0"/>
        <w:ind w:left="0"/>
        <w:jc w:val="both"/>
      </w:pPr>
      <w:r>
        <w:rPr>
          <w:rFonts w:ascii="Times New Roman"/>
          <w:b w:val="false"/>
          <w:i w:val="false"/>
          <w:color w:val="000000"/>
          <w:sz w:val="28"/>
        </w:rPr>
        <w:t>
      _________________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