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5ad3" w14:textId="17d5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тамыздағы № 906 бұйрығы. Қазақстан Республикасының Әділет министрлігінде 2022 жылғы 5 қыркүйекте № 29412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мынадай өзгерістер енгізiлсiн: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906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2"/>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bookmarkEnd w:id="1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аударымдары және (немесе) олар бойынша өсімпұл бойынша, сондай-ақ әлеуметтiк төлемдер бойынша;</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 Қазақстан</w:t>
            </w:r>
            <w:r>
              <w:br/>
            </w:r>
            <w:r>
              <w:rPr>
                <w:rFonts w:ascii="Times New Roman"/>
                <w:b w:val="false"/>
                <w:i w:val="false"/>
                <w:color w:val="000000"/>
                <w:sz w:val="20"/>
              </w:rPr>
              <w:t>Республикасының заңнамасына</w:t>
            </w:r>
            <w:r>
              <w:br/>
            </w:r>
            <w:r>
              <w:rPr>
                <w:rFonts w:ascii="Times New Roman"/>
                <w:b w:val="false"/>
                <w:i w:val="false"/>
                <w:color w:val="000000"/>
                <w:sz w:val="20"/>
              </w:rPr>
              <w:t>сәйкес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әлеуметтік төлемдерді,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жарналар мен</w:t>
            </w:r>
            <w:r>
              <w:br/>
            </w:r>
            <w:r>
              <w:rPr>
                <w:rFonts w:ascii="Times New Roman"/>
                <w:b w:val="false"/>
                <w:i w:val="false"/>
                <w:color w:val="000000"/>
                <w:sz w:val="20"/>
              </w:rPr>
              <w:t>аударымдарды есепке алуды</w:t>
            </w:r>
            <w:r>
              <w:br/>
            </w:r>
            <w:r>
              <w:rPr>
                <w:rFonts w:ascii="Times New Roman"/>
                <w:b w:val="false"/>
                <w:i w:val="false"/>
                <w:color w:val="000000"/>
                <w:sz w:val="20"/>
              </w:rPr>
              <w:t>қамтамасыз ететін заңды</w:t>
            </w:r>
            <w:r>
              <w:br/>
            </w:r>
            <w:r>
              <w:rPr>
                <w:rFonts w:ascii="Times New Roman"/>
                <w:b w:val="false"/>
                <w:i w:val="false"/>
                <w:color w:val="000000"/>
                <w:sz w:val="20"/>
              </w:rPr>
              <w:t>тұлғаның жеке тұлғалар туралы</w:t>
            </w:r>
            <w:r>
              <w:br/>
            </w:r>
            <w:r>
              <w:rPr>
                <w:rFonts w:ascii="Times New Roman"/>
                <w:b w:val="false"/>
                <w:i w:val="false"/>
                <w:color w:val="000000"/>
                <w:sz w:val="20"/>
              </w:rPr>
              <w:t>беретін қолда бар мәліметтер"</w:t>
            </w:r>
            <w:r>
              <w:br/>
            </w:r>
            <w:r>
              <w:rPr>
                <w:rFonts w:ascii="Times New Roman"/>
                <w:b w:val="false"/>
                <w:i w:val="false"/>
                <w:color w:val="000000"/>
                <w:sz w:val="20"/>
              </w:rPr>
              <w:t>нысанына қосымша</w:t>
            </w:r>
          </w:p>
        </w:tc>
      </w:tr>
    </w:tbl>
    <w:bookmarkStart w:name="z19" w:id="13"/>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bookmarkEnd w:id="13"/>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